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BC" w:rsidRPr="004C15D5" w:rsidRDefault="00766CC9" w:rsidP="00C676B2">
      <w:pPr>
        <w:pStyle w:val="Gero"/>
        <w:spacing w:line="276" w:lineRule="auto"/>
        <w:jc w:val="both"/>
        <w:rPr>
          <w:b/>
          <w:sz w:val="22"/>
          <w:szCs w:val="22"/>
          <w:u w:val="single"/>
        </w:rPr>
      </w:pPr>
      <w:r w:rsidRPr="004C15D5">
        <w:rPr>
          <w:b/>
          <w:sz w:val="22"/>
          <w:szCs w:val="22"/>
          <w:u w:val="single"/>
        </w:rPr>
        <w:t xml:space="preserve">Elżbieta </w:t>
      </w:r>
      <w:proofErr w:type="spellStart"/>
      <w:r w:rsidRPr="004C15D5">
        <w:rPr>
          <w:b/>
          <w:sz w:val="22"/>
          <w:szCs w:val="22"/>
          <w:u w:val="single"/>
        </w:rPr>
        <w:t>Jachlewska</w:t>
      </w:r>
      <w:proofErr w:type="spellEnd"/>
      <w:r w:rsidRPr="004C15D5">
        <w:rPr>
          <w:b/>
          <w:sz w:val="22"/>
          <w:szCs w:val="22"/>
          <w:u w:val="single"/>
        </w:rPr>
        <w:t xml:space="preserve"> </w:t>
      </w:r>
      <w:r w:rsidR="009A0CBC" w:rsidRPr="004C15D5">
        <w:rPr>
          <w:b/>
          <w:sz w:val="22"/>
          <w:szCs w:val="22"/>
          <w:u w:val="single"/>
        </w:rPr>
        <w:t>- strona</w:t>
      </w:r>
    </w:p>
    <w:p w:rsidR="00766CC9" w:rsidRPr="004C15D5" w:rsidRDefault="00766CC9" w:rsidP="00C676B2">
      <w:pPr>
        <w:pStyle w:val="Gero"/>
        <w:spacing w:line="276" w:lineRule="auto"/>
        <w:jc w:val="both"/>
        <w:rPr>
          <w:b/>
          <w:sz w:val="22"/>
          <w:szCs w:val="22"/>
          <w:u w:val="single"/>
        </w:rPr>
      </w:pPr>
      <w:r w:rsidRPr="004C15D5">
        <w:rPr>
          <w:b/>
          <w:sz w:val="22"/>
          <w:szCs w:val="22"/>
          <w:u w:val="single"/>
        </w:rPr>
        <w:t>wiceprezeska Stowarzyszenia WAGA, członkini Gdańskiej Rady ds. Równego Traktowania</w:t>
      </w:r>
      <w:r w:rsidR="009A0CBC" w:rsidRPr="004C15D5">
        <w:rPr>
          <w:b/>
          <w:sz w:val="22"/>
          <w:szCs w:val="22"/>
          <w:u w:val="single"/>
        </w:rPr>
        <w:t>, Prezeska Stowarzyszenia Sportowego Biało-Zielone</w:t>
      </w:r>
      <w:r w:rsidR="00220C48">
        <w:rPr>
          <w:b/>
          <w:sz w:val="22"/>
          <w:szCs w:val="22"/>
          <w:u w:val="single"/>
        </w:rPr>
        <w:t xml:space="preserve"> ( piłka nożna).</w:t>
      </w:r>
    </w:p>
    <w:p w:rsidR="009A0CBC" w:rsidRPr="004C15D5" w:rsidRDefault="009A0CBC" w:rsidP="00C676B2">
      <w:pPr>
        <w:pStyle w:val="Gero"/>
        <w:spacing w:line="276" w:lineRule="auto"/>
        <w:jc w:val="both"/>
        <w:rPr>
          <w:sz w:val="22"/>
          <w:szCs w:val="22"/>
          <w:u w:val="single"/>
        </w:rPr>
      </w:pPr>
    </w:p>
    <w:p w:rsidR="00694019" w:rsidRPr="004C15D5" w:rsidRDefault="00694019" w:rsidP="00C676B2">
      <w:pPr>
        <w:pStyle w:val="Tekstpodstawowy"/>
        <w:spacing w:line="276" w:lineRule="auto"/>
        <w:jc w:val="both"/>
        <w:rPr>
          <w:rFonts w:ascii="Times New Roman" w:hAnsi="Times New Roman" w:cs="Times New Roman"/>
        </w:rPr>
      </w:pPr>
      <w:r w:rsidRPr="004C15D5">
        <w:rPr>
          <w:rFonts w:ascii="Times New Roman" w:hAnsi="Times New Roman" w:cs="Times New Roman"/>
        </w:rPr>
        <w:t xml:space="preserve">Europejska Karta Równości Kobiet i Mężczyzn w Życiu Lokalnym (zwana dalej Kartą Równości) jest narzędziem do sprawiedliwego podziału i dostępu do zasobów finansowanych przez samorządy. </w:t>
      </w:r>
    </w:p>
    <w:p w:rsidR="00694019" w:rsidRPr="004C15D5" w:rsidRDefault="00694019" w:rsidP="00C676B2">
      <w:pPr>
        <w:pStyle w:val="Tekstpodstawowy"/>
        <w:tabs>
          <w:tab w:val="left" w:pos="426"/>
        </w:tabs>
        <w:spacing w:line="276" w:lineRule="auto"/>
        <w:jc w:val="both"/>
        <w:rPr>
          <w:rFonts w:ascii="Times New Roman" w:hAnsi="Times New Roman" w:cs="Times New Roman"/>
        </w:rPr>
      </w:pPr>
      <w:r w:rsidRPr="004C15D5">
        <w:rPr>
          <w:rFonts w:ascii="Times New Roman" w:hAnsi="Times New Roman" w:cs="Times New Roman"/>
        </w:rPr>
        <w:t>Podpisanie Karty Równości jest wyrazem zaangażowania władz lokalnych w propagowanie pro</w:t>
      </w:r>
      <w:r w:rsidR="00726D0B" w:rsidRPr="004C15D5">
        <w:rPr>
          <w:rFonts w:ascii="Times New Roman" w:hAnsi="Times New Roman" w:cs="Times New Roman"/>
        </w:rPr>
        <w:t xml:space="preserve"> </w:t>
      </w:r>
      <w:r w:rsidRPr="004C15D5">
        <w:rPr>
          <w:rFonts w:ascii="Times New Roman" w:hAnsi="Times New Roman" w:cs="Times New Roman"/>
        </w:rPr>
        <w:t>równościowej zasady wobec kobiet i mężczyzn.</w:t>
      </w:r>
    </w:p>
    <w:p w:rsidR="00694019" w:rsidRPr="004C15D5" w:rsidRDefault="00694019" w:rsidP="00C676B2">
      <w:pPr>
        <w:pStyle w:val="Tekstpodstawowy"/>
        <w:spacing w:line="276" w:lineRule="auto"/>
        <w:ind w:firstLine="283"/>
        <w:jc w:val="both"/>
        <w:rPr>
          <w:rFonts w:ascii="Times New Roman" w:hAnsi="Times New Roman" w:cs="Times New Roman"/>
          <w:lang w:eastAsia="pl-PL"/>
        </w:rPr>
      </w:pPr>
      <w:r w:rsidRPr="004C15D5">
        <w:rPr>
          <w:rFonts w:ascii="Times New Roman" w:hAnsi="Times New Roman" w:cs="Times New Roman"/>
        </w:rPr>
        <w:t xml:space="preserve"> Karta zobowiązuje samorządy lokalne do użycia ich kompetencji i wpływów w celu osiągnięcia większej równości w swojej społeczności; do</w:t>
      </w:r>
      <w:r w:rsidRPr="004C15D5">
        <w:rPr>
          <w:rFonts w:ascii="Times New Roman" w:hAnsi="Times New Roman" w:cs="Times New Roman"/>
          <w:lang w:eastAsia="pl-PL"/>
        </w:rPr>
        <w:t xml:space="preserve"> zapewnienia równości kobiet i mężczyzn poprzez poruszanie kwestii różnych form dyskryminacji opartej na: płci, rasie, pochodzeniu etnicznym, społecznym, cechach genetycznych, języku, religii, przekonaniach politycznych lub innych, przynależności do mniejszości narodowej, niepełnosprawności, wieku, orientacji seksualnej czy statusie społeczno-ekonomicznym.</w:t>
      </w:r>
    </w:p>
    <w:p w:rsidR="00766CC9" w:rsidRPr="004C15D5" w:rsidRDefault="00694019" w:rsidP="00C676B2">
      <w:pPr>
        <w:pStyle w:val="Gero"/>
        <w:spacing w:line="276" w:lineRule="auto"/>
        <w:jc w:val="both"/>
        <w:rPr>
          <w:sz w:val="22"/>
          <w:szCs w:val="22"/>
        </w:rPr>
      </w:pPr>
      <w:r w:rsidRPr="004C15D5">
        <w:rPr>
          <w:sz w:val="22"/>
          <w:szCs w:val="22"/>
        </w:rPr>
        <w:t xml:space="preserve">Na dzień 18.10.2017 </w:t>
      </w:r>
      <w:proofErr w:type="spellStart"/>
      <w:r w:rsidRPr="004C15D5">
        <w:rPr>
          <w:sz w:val="22"/>
          <w:szCs w:val="22"/>
        </w:rPr>
        <w:t>r</w:t>
      </w:r>
      <w:proofErr w:type="spellEnd"/>
      <w:r w:rsidRPr="004C15D5">
        <w:rPr>
          <w:sz w:val="22"/>
          <w:szCs w:val="22"/>
        </w:rPr>
        <w:t xml:space="preserve"> – 1678 sygnatariuszy w 35 krajach</w:t>
      </w:r>
      <w:r w:rsidR="009A0CBC" w:rsidRPr="004C15D5">
        <w:rPr>
          <w:rStyle w:val="Odwoanieprzypisudolnego"/>
          <w:sz w:val="22"/>
          <w:szCs w:val="22"/>
        </w:rPr>
        <w:footnoteReference w:id="1"/>
      </w:r>
    </w:p>
    <w:p w:rsidR="00C676B2" w:rsidRPr="004C15D5" w:rsidRDefault="00694019" w:rsidP="00C676B2">
      <w:pPr>
        <w:tabs>
          <w:tab w:val="left" w:pos="554"/>
        </w:tabs>
        <w:jc w:val="both"/>
        <w:rPr>
          <w:rFonts w:ascii="Times New Roman" w:hAnsi="Times New Roman" w:cs="Times New Roman"/>
        </w:rPr>
      </w:pPr>
      <w:r w:rsidRPr="004C15D5">
        <w:rPr>
          <w:rFonts w:ascii="Times New Roman" w:hAnsi="Times New Roman" w:cs="Times New Roman"/>
        </w:rPr>
        <w:t xml:space="preserve">       Po przyjęciu Karty sygnatariusz ma dwa lata na przygotowanie </w:t>
      </w:r>
      <w:r w:rsidRPr="004C15D5">
        <w:rPr>
          <w:rFonts w:ascii="Times New Roman" w:hAnsi="Times New Roman" w:cs="Times New Roman"/>
          <w:b/>
        </w:rPr>
        <w:t>Równościowego Planu Działania</w:t>
      </w:r>
      <w:r w:rsidRPr="004C15D5">
        <w:rPr>
          <w:rFonts w:ascii="Times New Roman" w:hAnsi="Times New Roman" w:cs="Times New Roman"/>
        </w:rPr>
        <w:t xml:space="preserve">, określa obszary dyskryminacji, wyznacza priorytety, cele, ze wskazaniem na te, które są możliwe w danej sytuacji do osiągnięcia, oraz przygotowuje plan konkretnych działań na następny rok lub dwa. Koordynacją przygotowania Równościowego Planu Działania zajmuje się specjalnie powołany koordynator przy władzy wykonawczej (np. w urzędzie miasta), a duża część jego pracy polega na konsultacjach i mapowaniu problemów równości w gminie lub regionie. </w:t>
      </w:r>
      <w:r w:rsidR="009A0CBC" w:rsidRPr="004C15D5">
        <w:rPr>
          <w:rFonts w:ascii="Times New Roman" w:hAnsi="Times New Roman" w:cs="Times New Roman"/>
        </w:rPr>
        <w:t>Samorząd współpracując z organizacjami pozarządowymi oraz instytucjami typu Urząd Pracy, MOPR w sposób znaczny może ograniczyć koszty diagnozy czy też przygotowania Planu Działania. Wdrożenie Planu może być praktycznie bez</w:t>
      </w:r>
      <w:r w:rsidR="00C676B2" w:rsidRPr="004C15D5">
        <w:rPr>
          <w:rFonts w:ascii="Times New Roman" w:hAnsi="Times New Roman" w:cs="Times New Roman"/>
        </w:rPr>
        <w:t xml:space="preserve"> </w:t>
      </w:r>
      <w:r w:rsidR="009A0CBC" w:rsidRPr="004C15D5">
        <w:rPr>
          <w:rFonts w:ascii="Times New Roman" w:hAnsi="Times New Roman" w:cs="Times New Roman"/>
        </w:rPr>
        <w:t>kosztowe –</w:t>
      </w:r>
      <w:r w:rsidR="00726D0B" w:rsidRPr="004C15D5">
        <w:rPr>
          <w:rFonts w:ascii="Times New Roman" w:hAnsi="Times New Roman" w:cs="Times New Roman"/>
        </w:rPr>
        <w:t xml:space="preserve"> część działań mogą przejąć</w:t>
      </w:r>
      <w:r w:rsidR="009A0CBC" w:rsidRPr="004C15D5">
        <w:rPr>
          <w:rFonts w:ascii="Times New Roman" w:hAnsi="Times New Roman" w:cs="Times New Roman"/>
        </w:rPr>
        <w:t xml:space="preserve"> jednostki pomocnicze (</w:t>
      </w:r>
      <w:r w:rsidR="00C676B2" w:rsidRPr="004C15D5">
        <w:rPr>
          <w:rFonts w:ascii="Times New Roman" w:hAnsi="Times New Roman" w:cs="Times New Roman"/>
        </w:rPr>
        <w:t xml:space="preserve"> przykład: po diagnozie przeprowadzonej przez MOPR okazuje się, że bezdomni mężczyźni  wychowujący dzieci nie mają możliwości przebywania z dzieckiem w</w:t>
      </w:r>
      <w:r w:rsidR="00726D0B" w:rsidRPr="004C15D5">
        <w:rPr>
          <w:rFonts w:ascii="Times New Roman" w:hAnsi="Times New Roman" w:cs="Times New Roman"/>
        </w:rPr>
        <w:t xml:space="preserve"> jednym miejscu -</w:t>
      </w:r>
      <w:r w:rsidR="00C676B2" w:rsidRPr="004C15D5">
        <w:rPr>
          <w:rFonts w:ascii="Times New Roman" w:hAnsi="Times New Roman" w:cs="Times New Roman"/>
        </w:rPr>
        <w:t xml:space="preserve"> na naszym obszar</w:t>
      </w:r>
      <w:r w:rsidR="00726D0B" w:rsidRPr="004C15D5">
        <w:rPr>
          <w:rFonts w:ascii="Times New Roman" w:hAnsi="Times New Roman" w:cs="Times New Roman"/>
        </w:rPr>
        <w:t>ze są tylko Domy Samotnej Matki. W</w:t>
      </w:r>
      <w:r w:rsidR="00C676B2" w:rsidRPr="004C15D5">
        <w:rPr>
          <w:rFonts w:ascii="Times New Roman" w:hAnsi="Times New Roman" w:cs="Times New Roman"/>
        </w:rPr>
        <w:t xml:space="preserve"> Planie Działania uwzględnia się stworzenie miejsca, gdzie ojciec będzie mógł przebywać z dzieckiem i otrzyma odpowiednie wsparcie.</w:t>
      </w:r>
    </w:p>
    <w:p w:rsidR="004446D0" w:rsidRPr="004C15D5" w:rsidRDefault="004446D0" w:rsidP="00C676B2">
      <w:pPr>
        <w:tabs>
          <w:tab w:val="left" w:pos="554"/>
        </w:tabs>
        <w:jc w:val="both"/>
        <w:rPr>
          <w:rFonts w:ascii="Times New Roman" w:hAnsi="Times New Roman" w:cs="Times New Roman"/>
          <w:b/>
        </w:rPr>
      </w:pPr>
      <w:r w:rsidRPr="004C15D5">
        <w:rPr>
          <w:rFonts w:ascii="Times New Roman" w:hAnsi="Times New Roman" w:cs="Times New Roman"/>
          <w:b/>
        </w:rPr>
        <w:t>Rekomendacje:</w:t>
      </w:r>
    </w:p>
    <w:p w:rsidR="004446D0" w:rsidRPr="004C15D5" w:rsidRDefault="009A0CBC" w:rsidP="00C676B2">
      <w:pPr>
        <w:pStyle w:val="Akapitzlist"/>
        <w:numPr>
          <w:ilvl w:val="0"/>
          <w:numId w:val="2"/>
        </w:numPr>
        <w:tabs>
          <w:tab w:val="left" w:pos="554"/>
        </w:tabs>
        <w:jc w:val="both"/>
        <w:rPr>
          <w:rFonts w:ascii="Times New Roman" w:hAnsi="Times New Roman" w:cs="Times New Roman"/>
          <w:b/>
        </w:rPr>
      </w:pPr>
      <w:r w:rsidRPr="004C15D5">
        <w:rPr>
          <w:rFonts w:ascii="Times New Roman" w:hAnsi="Times New Roman" w:cs="Times New Roman"/>
        </w:rPr>
        <w:t xml:space="preserve">  </w:t>
      </w:r>
      <w:r w:rsidR="004446D0" w:rsidRPr="004C15D5">
        <w:rPr>
          <w:rFonts w:ascii="Times New Roman" w:hAnsi="Times New Roman" w:cs="Times New Roman"/>
          <w:b/>
        </w:rPr>
        <w:t xml:space="preserve">Rekomendujemy podpisanie Europejskiej Karty Równości Kobiet i Mężczyzn w Życiu Lokalnym </w:t>
      </w:r>
      <w:r w:rsidR="00C676B2" w:rsidRPr="004C15D5">
        <w:rPr>
          <w:rFonts w:ascii="Times New Roman" w:hAnsi="Times New Roman" w:cs="Times New Roman"/>
          <w:b/>
        </w:rPr>
        <w:t>oraz opracowanie i wdrożenie Równościowego Planu Działania przez Miasto Gdańsk</w:t>
      </w:r>
    </w:p>
    <w:p w:rsidR="00726D0B" w:rsidRPr="004C15D5" w:rsidRDefault="004446D0" w:rsidP="00726D0B">
      <w:pPr>
        <w:pStyle w:val="Akapitzlist"/>
        <w:numPr>
          <w:ilvl w:val="0"/>
          <w:numId w:val="2"/>
        </w:numPr>
        <w:jc w:val="both"/>
        <w:rPr>
          <w:rFonts w:ascii="Times New Roman" w:hAnsi="Times New Roman" w:cs="Times New Roman"/>
        </w:rPr>
      </w:pPr>
      <w:r w:rsidRPr="004C15D5">
        <w:rPr>
          <w:rFonts w:ascii="Times New Roman" w:hAnsi="Times New Roman" w:cs="Times New Roman"/>
          <w:b/>
        </w:rPr>
        <w:t xml:space="preserve">Stowarzyszenie WAGA wspiera działalność  drużyn kobiecych – Biało-Zielone </w:t>
      </w:r>
      <w:proofErr w:type="spellStart"/>
      <w:r w:rsidRPr="004C15D5">
        <w:rPr>
          <w:rFonts w:ascii="Times New Roman" w:hAnsi="Times New Roman" w:cs="Times New Roman"/>
          <w:b/>
        </w:rPr>
        <w:t>Ladies</w:t>
      </w:r>
      <w:proofErr w:type="spellEnd"/>
      <w:r w:rsidRPr="004C15D5">
        <w:rPr>
          <w:rFonts w:ascii="Times New Roman" w:hAnsi="Times New Roman" w:cs="Times New Roman"/>
          <w:b/>
        </w:rPr>
        <w:t xml:space="preserve"> Gdańsk ( Rugby) oraz Biało-Zielone ( Piłka Nożna)</w:t>
      </w:r>
      <w:r w:rsidRPr="004C15D5">
        <w:rPr>
          <w:rFonts w:ascii="Times New Roman" w:hAnsi="Times New Roman" w:cs="Times New Roman"/>
        </w:rPr>
        <w:t xml:space="preserve"> .</w:t>
      </w:r>
    </w:p>
    <w:p w:rsidR="00726D0B" w:rsidRPr="004C15D5" w:rsidRDefault="009A0CBC" w:rsidP="00726D0B">
      <w:pPr>
        <w:jc w:val="both"/>
        <w:rPr>
          <w:rFonts w:ascii="Times New Roman" w:hAnsi="Times New Roman" w:cs="Times New Roman"/>
        </w:rPr>
      </w:pPr>
      <w:r w:rsidRPr="004C15D5">
        <w:rPr>
          <w:rFonts w:ascii="Times New Roman" w:hAnsi="Times New Roman" w:cs="Times New Roman"/>
        </w:rPr>
        <w:t xml:space="preserve"> Kobiety i mężczyźni, będąc pełnoprawnymi uczestnikami życia społecznego oraz w takim samym stopniu wpływając na środki finansowe gminy, mają prawo do równego dostępu do działalności, usług i urządzeń związanych z kulturą, sportem i rozrywką. </w:t>
      </w:r>
      <w:r w:rsidR="00726D0B" w:rsidRPr="004C15D5">
        <w:rPr>
          <w:rFonts w:ascii="Times New Roman" w:hAnsi="Times New Roman" w:cs="Times New Roman"/>
        </w:rPr>
        <w:t>Samorząd winien</w:t>
      </w:r>
      <w:r w:rsidRPr="004C15D5">
        <w:rPr>
          <w:rFonts w:ascii="Times New Roman" w:hAnsi="Times New Roman" w:cs="Times New Roman"/>
        </w:rPr>
        <w:t xml:space="preserve"> uzna</w:t>
      </w:r>
      <w:r w:rsidR="00726D0B" w:rsidRPr="004C15D5">
        <w:rPr>
          <w:rFonts w:ascii="Times New Roman" w:hAnsi="Times New Roman" w:cs="Times New Roman"/>
        </w:rPr>
        <w:t>ć</w:t>
      </w:r>
      <w:r w:rsidRPr="004C15D5">
        <w:rPr>
          <w:rFonts w:ascii="Times New Roman" w:hAnsi="Times New Roman" w:cs="Times New Roman"/>
        </w:rPr>
        <w:t>, ważną rolę</w:t>
      </w:r>
      <w:r w:rsidR="00726D0B" w:rsidRPr="004C15D5">
        <w:rPr>
          <w:rFonts w:ascii="Times New Roman" w:hAnsi="Times New Roman" w:cs="Times New Roman"/>
        </w:rPr>
        <w:t xml:space="preserve"> jaką</w:t>
      </w:r>
      <w:r w:rsidRPr="004C15D5">
        <w:rPr>
          <w:rFonts w:ascii="Times New Roman" w:hAnsi="Times New Roman" w:cs="Times New Roman"/>
        </w:rPr>
        <w:t xml:space="preserve"> sport odgrywa w życiu społecznym i jaki ma dobroczynny wpływ na zdrowie, </w:t>
      </w:r>
      <w:r w:rsidR="00726D0B" w:rsidRPr="004C15D5">
        <w:rPr>
          <w:rFonts w:ascii="Times New Roman" w:hAnsi="Times New Roman" w:cs="Times New Roman"/>
        </w:rPr>
        <w:t xml:space="preserve">winien </w:t>
      </w:r>
      <w:r w:rsidRPr="004C15D5">
        <w:rPr>
          <w:rFonts w:ascii="Times New Roman" w:hAnsi="Times New Roman" w:cs="Times New Roman"/>
        </w:rPr>
        <w:t>doceni</w:t>
      </w:r>
      <w:r w:rsidR="00726D0B" w:rsidRPr="004C15D5">
        <w:rPr>
          <w:rFonts w:ascii="Times New Roman" w:hAnsi="Times New Roman" w:cs="Times New Roman"/>
        </w:rPr>
        <w:t>ć</w:t>
      </w:r>
      <w:r w:rsidRPr="004C15D5">
        <w:rPr>
          <w:rFonts w:ascii="Times New Roman" w:hAnsi="Times New Roman" w:cs="Times New Roman"/>
        </w:rPr>
        <w:t xml:space="preserve"> wpływ kultury na postawy społeczne, </w:t>
      </w:r>
      <w:r w:rsidR="00726D0B" w:rsidRPr="004C15D5">
        <w:rPr>
          <w:rFonts w:ascii="Times New Roman" w:hAnsi="Times New Roman" w:cs="Times New Roman"/>
        </w:rPr>
        <w:t xml:space="preserve">winien </w:t>
      </w:r>
      <w:r w:rsidRPr="004C15D5">
        <w:rPr>
          <w:rFonts w:ascii="Times New Roman" w:hAnsi="Times New Roman" w:cs="Times New Roman"/>
        </w:rPr>
        <w:t>zobowiąz</w:t>
      </w:r>
      <w:r w:rsidR="00726D0B" w:rsidRPr="004C15D5">
        <w:rPr>
          <w:rFonts w:ascii="Times New Roman" w:hAnsi="Times New Roman" w:cs="Times New Roman"/>
        </w:rPr>
        <w:t>ać</w:t>
      </w:r>
      <w:r w:rsidRPr="004C15D5">
        <w:rPr>
          <w:rFonts w:ascii="Times New Roman" w:hAnsi="Times New Roman" w:cs="Times New Roman"/>
        </w:rPr>
        <w:t xml:space="preserve"> się do:</w:t>
      </w:r>
    </w:p>
    <w:p w:rsidR="009A0CBC" w:rsidRPr="004C15D5" w:rsidRDefault="009A0CBC" w:rsidP="00726D0B">
      <w:pPr>
        <w:jc w:val="both"/>
        <w:rPr>
          <w:rFonts w:ascii="Times New Roman" w:hAnsi="Times New Roman" w:cs="Times New Roman"/>
        </w:rPr>
      </w:pPr>
      <w:r w:rsidRPr="004C15D5">
        <w:rPr>
          <w:rFonts w:ascii="Times New Roman" w:hAnsi="Times New Roman" w:cs="Times New Roman"/>
        </w:rPr>
        <w:lastRenderedPageBreak/>
        <w:t xml:space="preserve">– zapewnienia równego dostępu kobietom i mężczyznom, chłopcom i dziewczynkom do uprawiania sportu, oferty kulturalnej, </w:t>
      </w:r>
    </w:p>
    <w:p w:rsidR="009A0CBC" w:rsidRPr="004C15D5" w:rsidRDefault="009A0CBC" w:rsidP="00726D0B">
      <w:pPr>
        <w:jc w:val="both"/>
        <w:rPr>
          <w:rFonts w:ascii="Times New Roman" w:hAnsi="Times New Roman" w:cs="Times New Roman"/>
        </w:rPr>
      </w:pPr>
      <w:r w:rsidRPr="004C15D5">
        <w:rPr>
          <w:rFonts w:ascii="Times New Roman" w:hAnsi="Times New Roman" w:cs="Times New Roman"/>
        </w:rPr>
        <w:t>– umożliwienia sprawiedliwego użytkowania obiektów i placówek sportowych i kulturalnych,</w:t>
      </w:r>
    </w:p>
    <w:p w:rsidR="009A0CBC" w:rsidRPr="004C15D5" w:rsidRDefault="009A0CBC" w:rsidP="00C676B2">
      <w:pPr>
        <w:jc w:val="both"/>
        <w:rPr>
          <w:rFonts w:ascii="Times New Roman" w:hAnsi="Times New Roman" w:cs="Times New Roman"/>
        </w:rPr>
      </w:pPr>
      <w:r w:rsidRPr="004C15D5">
        <w:rPr>
          <w:rFonts w:ascii="Times New Roman" w:hAnsi="Times New Roman" w:cs="Times New Roman"/>
        </w:rPr>
        <w:t>– zachęcania kobiet i mężczyzn, chłopców i dziewcząt do udziału w zajęciach stereotypowo przypisanych innej płci,</w:t>
      </w:r>
    </w:p>
    <w:p w:rsidR="009A0CBC" w:rsidRPr="004C15D5" w:rsidRDefault="009A0CBC" w:rsidP="00C676B2">
      <w:pPr>
        <w:jc w:val="both"/>
        <w:rPr>
          <w:rFonts w:ascii="Times New Roman" w:hAnsi="Times New Roman" w:cs="Times New Roman"/>
        </w:rPr>
      </w:pPr>
      <w:r w:rsidRPr="004C15D5">
        <w:rPr>
          <w:rFonts w:ascii="Times New Roman" w:hAnsi="Times New Roman" w:cs="Times New Roman"/>
        </w:rPr>
        <w:t>– promowania takich form działalności kulturalnej czy też sportowej, która przełamuje stereotypy,</w:t>
      </w:r>
    </w:p>
    <w:p w:rsidR="009A0CBC" w:rsidRPr="004C15D5" w:rsidRDefault="009A0CBC" w:rsidP="00C676B2">
      <w:pPr>
        <w:jc w:val="both"/>
        <w:rPr>
          <w:rFonts w:ascii="Times New Roman" w:hAnsi="Times New Roman" w:cs="Times New Roman"/>
        </w:rPr>
      </w:pPr>
      <w:r w:rsidRPr="004C15D5">
        <w:rPr>
          <w:rFonts w:ascii="Times New Roman" w:hAnsi="Times New Roman" w:cs="Times New Roman"/>
        </w:rPr>
        <w:t>– promocji publikacji, książek, szczególnie w bibliotekach, o tematyce równościowej.</w:t>
      </w:r>
    </w:p>
    <w:p w:rsidR="00C676B2" w:rsidRPr="004C15D5" w:rsidRDefault="00C676B2" w:rsidP="00C676B2">
      <w:pPr>
        <w:jc w:val="both"/>
        <w:rPr>
          <w:rFonts w:ascii="Times New Roman" w:hAnsi="Times New Roman" w:cs="Times New Roman"/>
          <w:b/>
        </w:rPr>
      </w:pPr>
      <w:r w:rsidRPr="004C15D5">
        <w:rPr>
          <w:rFonts w:ascii="Times New Roman" w:hAnsi="Times New Roman" w:cs="Times New Roman"/>
          <w:b/>
        </w:rPr>
        <w:t xml:space="preserve">Rekomendujemy aby wzorem miasta </w:t>
      </w:r>
      <w:proofErr w:type="spellStart"/>
      <w:r w:rsidRPr="004C15D5">
        <w:rPr>
          <w:rFonts w:ascii="Times New Roman" w:hAnsi="Times New Roman" w:cs="Times New Roman"/>
          <w:b/>
        </w:rPr>
        <w:t>Umeå</w:t>
      </w:r>
      <w:proofErr w:type="spellEnd"/>
      <w:r w:rsidRPr="004C15D5">
        <w:rPr>
          <w:rFonts w:ascii="Times New Roman" w:hAnsi="Times New Roman" w:cs="Times New Roman"/>
          <w:b/>
        </w:rPr>
        <w:t xml:space="preserve"> ( Szwecja) , Gdańsk zmienił swoją politykę w obszarze sportu – aby jednym z </w:t>
      </w:r>
      <w:proofErr w:type="spellStart"/>
      <w:r w:rsidRPr="004C15D5">
        <w:rPr>
          <w:rFonts w:ascii="Times New Roman" w:hAnsi="Times New Roman" w:cs="Times New Roman"/>
          <w:b/>
        </w:rPr>
        <w:t>priorytetów,w</w:t>
      </w:r>
      <w:proofErr w:type="spellEnd"/>
      <w:r w:rsidRPr="004C15D5">
        <w:rPr>
          <w:rFonts w:ascii="Times New Roman" w:hAnsi="Times New Roman" w:cs="Times New Roman"/>
          <w:b/>
        </w:rPr>
        <w:t xml:space="preserve"> przyszłym Równościowym Planie Działania, Gdańsk zajął się </w:t>
      </w:r>
      <w:r w:rsidRPr="004C15D5">
        <w:rPr>
          <w:rFonts w:ascii="Times New Roman" w:hAnsi="Times New Roman" w:cs="Times New Roman"/>
          <w:b/>
          <w:i/>
        </w:rPr>
        <w:t>Art. 20 – Kultura, sport i czas wolny.</w:t>
      </w:r>
    </w:p>
    <w:p w:rsidR="009A0CBC" w:rsidRPr="004C15D5" w:rsidRDefault="009A0CBC" w:rsidP="00C676B2">
      <w:pPr>
        <w:tabs>
          <w:tab w:val="left" w:pos="639"/>
        </w:tabs>
        <w:jc w:val="both"/>
        <w:rPr>
          <w:rFonts w:ascii="Times New Roman" w:hAnsi="Times New Roman" w:cs="Times New Roman"/>
        </w:rPr>
      </w:pPr>
      <w:r w:rsidRPr="004C15D5">
        <w:rPr>
          <w:rFonts w:ascii="Times New Roman" w:hAnsi="Times New Roman" w:cs="Times New Roman"/>
        </w:rPr>
        <w:t xml:space="preserve">       Przy podziale budżetu na te formy spędzania wolnego czasu należy uwzględnić różne doświadczenia i zainteresowania obu płci. Należy też wziąć pod uwagę to, że często stereotypowo je  postrzegamy. Przykładowy stereotyp: chłopcy grają w piłkę nożną, dziewczynki ćwiczą balet.</w:t>
      </w:r>
    </w:p>
    <w:p w:rsidR="009A0CBC" w:rsidRPr="004C15D5" w:rsidRDefault="009A0CBC" w:rsidP="00C676B2">
      <w:pPr>
        <w:jc w:val="both"/>
        <w:rPr>
          <w:rFonts w:ascii="Times New Roman" w:hAnsi="Times New Roman" w:cs="Times New Roman"/>
        </w:rPr>
      </w:pPr>
      <w:r w:rsidRPr="004C15D5">
        <w:rPr>
          <w:rFonts w:ascii="Times New Roman" w:hAnsi="Times New Roman" w:cs="Times New Roman"/>
        </w:rPr>
        <w:t xml:space="preserve">       Wskaźniki niezbędne do opracowania Równościowego Planu Działania: zbadanie składu członkiń/członków zarządów w lokalnych organizacjach sportowych i kulturalnych, analiza budżetu przyznanego na wsparcie dyscyplin sportowych tradycyjnie kobiecych i męskich. </w:t>
      </w:r>
    </w:p>
    <w:p w:rsidR="009A0CBC" w:rsidRPr="004C15D5" w:rsidRDefault="009A0CBC" w:rsidP="00C676B2">
      <w:pPr>
        <w:jc w:val="both"/>
        <w:rPr>
          <w:rFonts w:ascii="Times New Roman" w:hAnsi="Times New Roman" w:cs="Times New Roman"/>
        </w:rPr>
      </w:pPr>
      <w:r w:rsidRPr="004C15D5">
        <w:rPr>
          <w:rFonts w:ascii="Times New Roman" w:hAnsi="Times New Roman" w:cs="Times New Roman"/>
        </w:rPr>
        <w:t xml:space="preserve">        Warto też, aby sygnatariusz odpowiedział sobie na pytanie, czy wspiera bądź finansuje projekty zachęcające kobiety do uprawiania dyscyplin uważanych stereotypowo za męskie.</w:t>
      </w:r>
    </w:p>
    <w:p w:rsidR="004446D0" w:rsidRPr="004C15D5" w:rsidRDefault="00726D0B" w:rsidP="00C676B2">
      <w:pPr>
        <w:pStyle w:val="Nagwek6"/>
        <w:spacing w:line="276" w:lineRule="auto"/>
        <w:jc w:val="both"/>
        <w:rPr>
          <w:rFonts w:ascii="Times New Roman" w:hAnsi="Times New Roman" w:cs="Times New Roman"/>
          <w:b/>
          <w:bCs/>
          <w:i w:val="0"/>
          <w:iCs w:val="0"/>
          <w:color w:val="auto"/>
        </w:rPr>
      </w:pPr>
      <w:r w:rsidRPr="004C15D5">
        <w:rPr>
          <w:rFonts w:ascii="Times New Roman" w:hAnsi="Times New Roman" w:cs="Times New Roman"/>
          <w:b/>
          <w:bCs/>
          <w:i w:val="0"/>
          <w:iCs w:val="0"/>
          <w:color w:val="auto"/>
        </w:rPr>
        <w:t>Dobra Praktyka – Szwecja</w:t>
      </w:r>
    </w:p>
    <w:p w:rsidR="004446D0" w:rsidRPr="004C15D5" w:rsidRDefault="004446D0" w:rsidP="00C676B2">
      <w:pPr>
        <w:pStyle w:val="Tekstpodstawowy"/>
        <w:spacing w:line="276" w:lineRule="auto"/>
        <w:jc w:val="both"/>
        <w:rPr>
          <w:rFonts w:ascii="Times New Roman" w:hAnsi="Times New Roman" w:cs="Times New Roman"/>
        </w:rPr>
      </w:pPr>
      <w:r w:rsidRPr="004C15D5">
        <w:rPr>
          <w:rFonts w:ascii="Times New Roman" w:hAnsi="Times New Roman" w:cs="Times New Roman"/>
        </w:rPr>
        <w:t xml:space="preserve">       </w:t>
      </w:r>
      <w:proofErr w:type="spellStart"/>
      <w:r w:rsidRPr="004C15D5">
        <w:rPr>
          <w:rFonts w:ascii="Times New Roman" w:hAnsi="Times New Roman" w:cs="Times New Roman"/>
        </w:rPr>
        <w:t>Umeå</w:t>
      </w:r>
      <w:proofErr w:type="spellEnd"/>
      <w:r w:rsidRPr="004C15D5">
        <w:rPr>
          <w:rFonts w:ascii="Times New Roman" w:hAnsi="Times New Roman" w:cs="Times New Roman"/>
        </w:rPr>
        <w:t xml:space="preserve"> (79.594 mieszkańców i mieszkanek)</w:t>
      </w:r>
      <w:r w:rsidRPr="004C15D5">
        <w:rPr>
          <w:rStyle w:val="Odwoanieprzypisudolnego"/>
          <w:rFonts w:ascii="Times New Roman" w:hAnsi="Times New Roman" w:cs="Times New Roman"/>
        </w:rPr>
        <w:footnoteReference w:id="2"/>
      </w:r>
      <w:r w:rsidRPr="004C15D5">
        <w:rPr>
          <w:rFonts w:ascii="Times New Roman" w:hAnsi="Times New Roman" w:cs="Times New Roman"/>
        </w:rPr>
        <w:t xml:space="preserve"> to modelowe miasto na rzecz równości płci w Szwecji, sygnatariuszem Karty Równości zostało w 2008 r.</w:t>
      </w:r>
    </w:p>
    <w:p w:rsidR="004446D0" w:rsidRPr="004C15D5" w:rsidRDefault="004446D0" w:rsidP="00C676B2">
      <w:pPr>
        <w:pStyle w:val="Tekstpodstawowy"/>
        <w:spacing w:line="276" w:lineRule="auto"/>
        <w:jc w:val="both"/>
        <w:rPr>
          <w:rFonts w:ascii="Times New Roman" w:hAnsi="Times New Roman" w:cs="Times New Roman"/>
        </w:rPr>
      </w:pPr>
      <w:r w:rsidRPr="004C15D5">
        <w:rPr>
          <w:rFonts w:ascii="Times New Roman" w:hAnsi="Times New Roman" w:cs="Times New Roman"/>
        </w:rPr>
        <w:t xml:space="preserve">       Już w 1999 r. władze samorządowe podjęły próbę zdiagnozowania, dlaczego osoby korzystające z obiektów sportowych to w 70% mężczyźni. </w:t>
      </w:r>
      <w:proofErr w:type="spellStart"/>
      <w:r w:rsidRPr="004C15D5">
        <w:rPr>
          <w:rFonts w:ascii="Times New Roman" w:hAnsi="Times New Roman" w:cs="Times New Roman"/>
        </w:rPr>
        <w:t>Umeå</w:t>
      </w:r>
      <w:proofErr w:type="spellEnd"/>
      <w:r w:rsidRPr="004C15D5">
        <w:rPr>
          <w:rFonts w:ascii="Times New Roman" w:hAnsi="Times New Roman" w:cs="Times New Roman"/>
        </w:rPr>
        <w:t xml:space="preserve"> postanowiła zmienić swoją politykę, umożliwiając kobietom i dziewczętom uprawianie sportów na takich samych warunkach jak mężczyźni i chłopcy.</w:t>
      </w:r>
    </w:p>
    <w:p w:rsidR="004446D0" w:rsidRPr="004C15D5" w:rsidRDefault="004446D0" w:rsidP="00C676B2">
      <w:pPr>
        <w:pStyle w:val="Tekstpodstawowy"/>
        <w:spacing w:line="276" w:lineRule="auto"/>
        <w:jc w:val="both"/>
        <w:rPr>
          <w:rFonts w:ascii="Times New Roman" w:hAnsi="Times New Roman" w:cs="Times New Roman"/>
        </w:rPr>
      </w:pPr>
      <w:r w:rsidRPr="004C15D5">
        <w:rPr>
          <w:rFonts w:ascii="Times New Roman" w:hAnsi="Times New Roman" w:cs="Times New Roman"/>
        </w:rPr>
        <w:t xml:space="preserve">       W 2000 r. zdecydowano, że godziny treningów powinny być podzielone równo pomiędzy zespoły kobiece i męskie, w zależności od ich umieszczenia we własnej lidze na przykład. W rezultacie chłopcy i zespoły męskie nie były faworyzowane w doborze najlepszych godzin szkoleniowych, a dziewczęta i zespoły kobiece mogły korzystać w równym stopniu z treningów na arenach sportowych. </w:t>
      </w:r>
      <w:proofErr w:type="spellStart"/>
      <w:r w:rsidRPr="004C15D5">
        <w:rPr>
          <w:rFonts w:ascii="Times New Roman" w:hAnsi="Times New Roman" w:cs="Times New Roman"/>
        </w:rPr>
        <w:t>Umeå</w:t>
      </w:r>
      <w:proofErr w:type="spellEnd"/>
      <w:r w:rsidRPr="004C15D5">
        <w:rPr>
          <w:rFonts w:ascii="Times New Roman" w:hAnsi="Times New Roman" w:cs="Times New Roman"/>
        </w:rPr>
        <w:t xml:space="preserve"> była pierwszą gminą w Szwecji która podjęła się tego zadania.</w:t>
      </w:r>
    </w:p>
    <w:p w:rsidR="004446D0" w:rsidRPr="004C15D5" w:rsidRDefault="004446D0" w:rsidP="00C676B2">
      <w:pPr>
        <w:pStyle w:val="Tekstpodstawowy"/>
        <w:spacing w:line="276" w:lineRule="auto"/>
        <w:jc w:val="both"/>
        <w:rPr>
          <w:rFonts w:ascii="Times New Roman" w:hAnsi="Times New Roman" w:cs="Times New Roman"/>
        </w:rPr>
      </w:pPr>
      <w:r w:rsidRPr="004C15D5">
        <w:rPr>
          <w:rFonts w:ascii="Times New Roman" w:hAnsi="Times New Roman" w:cs="Times New Roman"/>
        </w:rPr>
        <w:t xml:space="preserve">      Decyzja ta przyniosła wiele kontrowersji, a niektórzy mieszkańcy i mieszkanki  twierdzili, że to nie było fair, ponieważ mniejsza liczba dziewcząt i kobiet gra w piłkę nożną. Jednakże, podkreślając nierówny podział szans dla dziewcząt i chłopców do uprawiania sportów, nowa polityka miała na celu uświadomienie nierówności płci w dziedzinie sportu, jakim jest piłka nożna. Jak się okazało, prognoza i działania były słuszne. Liczba dziewczynek i kobiet trenujących piłkę nożną zaczęła wzrastać bardzo szybko, a w tej chwili proporcje właściwie są wyrównane</w:t>
      </w:r>
      <w:r w:rsidRPr="004C15D5">
        <w:rPr>
          <w:rStyle w:val="Odwoanieprzypisudolnego"/>
          <w:rFonts w:ascii="Times New Roman" w:hAnsi="Times New Roman" w:cs="Times New Roman"/>
        </w:rPr>
        <w:footnoteReference w:id="3"/>
      </w:r>
      <w:r w:rsidRPr="004C15D5">
        <w:rPr>
          <w:rFonts w:ascii="Times New Roman" w:hAnsi="Times New Roman" w:cs="Times New Roman"/>
        </w:rPr>
        <w:t>.</w:t>
      </w:r>
    </w:p>
    <w:p w:rsidR="004446D0" w:rsidRPr="004C15D5" w:rsidRDefault="00726D0B" w:rsidP="00FD071B">
      <w:pPr>
        <w:pStyle w:val="Akapitzlist"/>
        <w:numPr>
          <w:ilvl w:val="0"/>
          <w:numId w:val="2"/>
        </w:numPr>
        <w:rPr>
          <w:rFonts w:ascii="Times New Roman" w:hAnsi="Times New Roman" w:cs="Times New Roman"/>
          <w:b/>
        </w:rPr>
      </w:pPr>
      <w:r w:rsidRPr="004C15D5">
        <w:rPr>
          <w:rFonts w:ascii="Times New Roman" w:hAnsi="Times New Roman" w:cs="Times New Roman"/>
          <w:b/>
        </w:rPr>
        <w:lastRenderedPageBreak/>
        <w:t xml:space="preserve">Stowarzyszenie WAGA pracując m.in. na rzecz społeczności na Biskupiej Górce spotyka </w:t>
      </w:r>
      <w:r w:rsidR="00FD071B" w:rsidRPr="004C15D5">
        <w:rPr>
          <w:rFonts w:ascii="Times New Roman" w:hAnsi="Times New Roman" w:cs="Times New Roman"/>
          <w:b/>
        </w:rPr>
        <w:t xml:space="preserve">się z </w:t>
      </w:r>
      <w:r w:rsidRPr="004C15D5">
        <w:rPr>
          <w:rFonts w:ascii="Times New Roman" w:hAnsi="Times New Roman" w:cs="Times New Roman"/>
          <w:b/>
        </w:rPr>
        <w:t>różn</w:t>
      </w:r>
      <w:r w:rsidR="00FD071B" w:rsidRPr="004C15D5">
        <w:rPr>
          <w:rFonts w:ascii="Times New Roman" w:hAnsi="Times New Roman" w:cs="Times New Roman"/>
          <w:b/>
        </w:rPr>
        <w:t>ymi formami</w:t>
      </w:r>
      <w:r w:rsidRPr="004C15D5">
        <w:rPr>
          <w:rFonts w:ascii="Times New Roman" w:hAnsi="Times New Roman" w:cs="Times New Roman"/>
          <w:b/>
        </w:rPr>
        <w:t xml:space="preserve"> wykluczenia społecznego</w:t>
      </w:r>
    </w:p>
    <w:p w:rsidR="00FD071B" w:rsidRPr="004C15D5" w:rsidRDefault="00FD071B" w:rsidP="00FD071B">
      <w:pPr>
        <w:tabs>
          <w:tab w:val="left" w:pos="542"/>
        </w:tabs>
        <w:jc w:val="both"/>
        <w:rPr>
          <w:rFonts w:ascii="Times New Roman" w:hAnsi="Times New Roman" w:cs="Times New Roman"/>
        </w:rPr>
      </w:pPr>
      <w:r w:rsidRPr="004C15D5">
        <w:rPr>
          <w:rFonts w:ascii="Times New Roman" w:hAnsi="Times New Roman" w:cs="Times New Roman"/>
        </w:rPr>
        <w:t xml:space="preserve"> Celem prowadzenia polityki równościowej samorządu jest między innym zaangażowanie władz lokalnych w ochronę przed ubóstwem oraz wykluczeniem społecznym. Ubóstwo jest zjawiskiem zróżnicowanym ze względu na płeć. Kobiety stanowią większy udział w populacji biednych, a także inaczej odczuwają skutki ubóstwa</w:t>
      </w:r>
      <w:r w:rsidRPr="004C15D5">
        <w:rPr>
          <w:rStyle w:val="Odwoanieprzypisudolnego"/>
          <w:rFonts w:ascii="Times New Roman" w:hAnsi="Times New Roman" w:cs="Times New Roman"/>
        </w:rPr>
        <w:footnoteReference w:id="4"/>
      </w:r>
      <w:r w:rsidRPr="004C15D5">
        <w:rPr>
          <w:rFonts w:ascii="Times New Roman" w:hAnsi="Times New Roman" w:cs="Times New Roman"/>
        </w:rPr>
        <w:t>. Wskaźnikiem biedy jest dochód, który to statystycznie w przypadku kobiet jest o ok. 17% niższy w stosunku do mężczyzn.       Zróżnicowanie to spowodowane jest niższym wskaźnikiem zatrudnienia wśród kobiet, ich mniejszym doświadczeniem zawodowym (spowodowanym m.in. opieką nad dzieckiem czy też osobą zależną). Statystycznie kobiety są bardziej wykształcone niż mężczyźni, ale nie przekłada to się na awans, status społeczny, finanse. Kobiety tradycyjnie wykonują prace mniej prestiżowe (sprzątanie, usługi opiekuńcze) oraz dają się „wypychać” z rynku poprzez swoją rzekomą niedyspozycyjność. Kobiety wykonują nieodpłatną pracę w gospodarstwach domowych, wspierają karierę partnerów, tym samym nie gwarantując sobie zabezpieczenia emerytalnego czy też jakichkolwiek świadczeń w razie choroby lub rozstania się z partnerem.</w:t>
      </w:r>
    </w:p>
    <w:p w:rsidR="00FD071B" w:rsidRPr="004C15D5" w:rsidRDefault="00FD071B" w:rsidP="00FD071B">
      <w:pPr>
        <w:jc w:val="both"/>
        <w:rPr>
          <w:rFonts w:ascii="Times New Roman" w:hAnsi="Times New Roman" w:cs="Times New Roman"/>
        </w:rPr>
      </w:pPr>
      <w:r w:rsidRPr="004C15D5">
        <w:rPr>
          <w:rFonts w:ascii="Times New Roman" w:hAnsi="Times New Roman" w:cs="Times New Roman"/>
        </w:rPr>
        <w:t xml:space="preserve">O zróżnicowaniu odczuwania ubóstwa najlepiej świadczy przykład sytuacji rodziców po rozwodzie. W takim momencie inaczej wygląda sytuacja kobiety, inaczej zaś mężczyzny. Przeważnie to kobieta wychowuje i łoży na dziecko czy też dzieci. Zjawisko </w:t>
      </w:r>
      <w:proofErr w:type="spellStart"/>
      <w:r w:rsidRPr="004C15D5">
        <w:rPr>
          <w:rFonts w:ascii="Times New Roman" w:hAnsi="Times New Roman" w:cs="Times New Roman"/>
        </w:rPr>
        <w:t>niealimentacji</w:t>
      </w:r>
      <w:proofErr w:type="spellEnd"/>
      <w:r w:rsidRPr="004C15D5">
        <w:rPr>
          <w:rFonts w:ascii="Times New Roman" w:hAnsi="Times New Roman" w:cs="Times New Roman"/>
        </w:rPr>
        <w:t xml:space="preserve"> jest zjawiskiem w Polsce powszechnym. W przypadku utraty pracy obie strony są w kompletnie innym położeniu. Kobieta musi utrzymać także i dziecko, mężczyzna tylko siebie.</w:t>
      </w:r>
    </w:p>
    <w:p w:rsidR="00FD071B" w:rsidRPr="004C15D5" w:rsidRDefault="00FD071B" w:rsidP="00FD071B">
      <w:pPr>
        <w:jc w:val="both"/>
        <w:rPr>
          <w:rFonts w:ascii="Times New Roman" w:hAnsi="Times New Roman" w:cs="Times New Roman"/>
        </w:rPr>
      </w:pPr>
      <w:r w:rsidRPr="004C15D5">
        <w:rPr>
          <w:rFonts w:ascii="Times New Roman" w:hAnsi="Times New Roman" w:cs="Times New Roman"/>
        </w:rPr>
        <w:t>Podpisując Kartę Równości samorząd deklaruje swoje zaangażowanie w zagwarantowanie prawa do ochrony przed ubóstwem i wykluczeniem społecznym, a tym samym uznaje, że kobiety są częściej dotknięte wykluczeniem ekonomicznym i społecznym.</w:t>
      </w:r>
    </w:p>
    <w:p w:rsidR="00FD071B" w:rsidRPr="004C15D5" w:rsidRDefault="00FD071B" w:rsidP="00FD071B">
      <w:pPr>
        <w:jc w:val="both"/>
        <w:rPr>
          <w:rFonts w:ascii="Times New Roman" w:hAnsi="Times New Roman" w:cs="Times New Roman"/>
        </w:rPr>
      </w:pPr>
      <w:r w:rsidRPr="004C15D5">
        <w:rPr>
          <w:rFonts w:ascii="Times New Roman" w:hAnsi="Times New Roman" w:cs="Times New Roman"/>
          <w:b/>
        </w:rPr>
        <w:t xml:space="preserve">Rekomendujemy aby jednym z </w:t>
      </w:r>
      <w:proofErr w:type="spellStart"/>
      <w:r w:rsidRPr="004C15D5">
        <w:rPr>
          <w:rFonts w:ascii="Times New Roman" w:hAnsi="Times New Roman" w:cs="Times New Roman"/>
          <w:b/>
        </w:rPr>
        <w:t>priorytetów,w</w:t>
      </w:r>
      <w:proofErr w:type="spellEnd"/>
      <w:r w:rsidRPr="004C15D5">
        <w:rPr>
          <w:rFonts w:ascii="Times New Roman" w:hAnsi="Times New Roman" w:cs="Times New Roman"/>
          <w:b/>
        </w:rPr>
        <w:t xml:space="preserve"> przyszłym Równościowym Planie Działania, Gdańsk zajął się </w:t>
      </w:r>
      <w:r w:rsidRPr="004C15D5">
        <w:rPr>
          <w:rFonts w:ascii="Times New Roman" w:hAnsi="Times New Roman" w:cs="Times New Roman"/>
          <w:b/>
          <w:i/>
        </w:rPr>
        <w:t xml:space="preserve">Art. </w:t>
      </w:r>
      <w:r w:rsidRPr="004C15D5">
        <w:rPr>
          <w:rFonts w:ascii="Times New Roman" w:hAnsi="Times New Roman" w:cs="Times New Roman"/>
          <w:i/>
        </w:rPr>
        <w:t>18 – wykluczenie społeczne</w:t>
      </w:r>
      <w:r w:rsidRPr="004C15D5">
        <w:rPr>
          <w:rFonts w:ascii="Times New Roman" w:hAnsi="Times New Roman" w:cs="Times New Roman"/>
        </w:rPr>
        <w:t>.</w:t>
      </w:r>
    </w:p>
    <w:p w:rsidR="00FD071B" w:rsidRPr="004C15D5" w:rsidRDefault="00FD071B" w:rsidP="00FD071B">
      <w:pPr>
        <w:jc w:val="both"/>
        <w:rPr>
          <w:rFonts w:ascii="Times New Roman" w:hAnsi="Times New Roman" w:cs="Times New Roman"/>
        </w:rPr>
      </w:pPr>
      <w:r w:rsidRPr="004C15D5">
        <w:rPr>
          <w:rFonts w:ascii="Times New Roman" w:hAnsi="Times New Roman" w:cs="Times New Roman"/>
        </w:rPr>
        <w:t>W celu wyeliminowania tego obszaru nierówności samorząd przy współpracy z partnerami społecznymi winien zobowiązać się do podjęcia środków zmierzających do wypracowania planu działania poprzez:</w:t>
      </w:r>
    </w:p>
    <w:p w:rsidR="00FD071B" w:rsidRPr="004C15D5" w:rsidRDefault="00FD071B" w:rsidP="00FD071B">
      <w:pPr>
        <w:pStyle w:val="Akapitzlist"/>
        <w:jc w:val="both"/>
        <w:rPr>
          <w:rFonts w:ascii="Times New Roman" w:hAnsi="Times New Roman" w:cs="Times New Roman"/>
        </w:rPr>
      </w:pPr>
      <w:r w:rsidRPr="004C15D5">
        <w:rPr>
          <w:rFonts w:ascii="Times New Roman" w:hAnsi="Times New Roman" w:cs="Times New Roman"/>
        </w:rPr>
        <w:t>– promowanie skutecznego dostępu osób wykluczonych do dóbr i zasobów w obszarach: pracy, mieszkalnictwa, edukacji, kultury, opieki społecznej i medycznej,</w:t>
      </w:r>
    </w:p>
    <w:p w:rsidR="00FD071B" w:rsidRPr="004C15D5" w:rsidRDefault="00FD071B" w:rsidP="00FD071B">
      <w:pPr>
        <w:pStyle w:val="Akapitzlist"/>
        <w:jc w:val="both"/>
        <w:rPr>
          <w:rFonts w:ascii="Times New Roman" w:hAnsi="Times New Roman" w:cs="Times New Roman"/>
        </w:rPr>
      </w:pPr>
      <w:r w:rsidRPr="004C15D5">
        <w:rPr>
          <w:rFonts w:ascii="Times New Roman" w:hAnsi="Times New Roman" w:cs="Times New Roman"/>
        </w:rPr>
        <w:t>– zdiagnozowanie szczególnych potrzeb kobiet doświadczających wykluczenia społecznego,</w:t>
      </w:r>
    </w:p>
    <w:p w:rsidR="00FD071B" w:rsidRPr="004C15D5" w:rsidRDefault="00FD071B" w:rsidP="00FD071B">
      <w:pPr>
        <w:pStyle w:val="Akapitzlist"/>
        <w:jc w:val="both"/>
        <w:rPr>
          <w:rFonts w:ascii="Times New Roman" w:hAnsi="Times New Roman" w:cs="Times New Roman"/>
        </w:rPr>
      </w:pPr>
      <w:r w:rsidRPr="004C15D5">
        <w:rPr>
          <w:rFonts w:ascii="Times New Roman" w:hAnsi="Times New Roman" w:cs="Times New Roman"/>
        </w:rPr>
        <w:t>– rozpoznanie potrzeb imigrantów, imigrantek oraz podjęcie działań integrujących ich ze społecznością lokalną.</w:t>
      </w:r>
    </w:p>
    <w:p w:rsidR="00FD071B" w:rsidRPr="004C15D5" w:rsidRDefault="00FD071B" w:rsidP="00FD071B">
      <w:pPr>
        <w:tabs>
          <w:tab w:val="left" w:pos="542"/>
        </w:tabs>
        <w:jc w:val="both"/>
        <w:rPr>
          <w:rFonts w:ascii="Times New Roman" w:hAnsi="Times New Roman" w:cs="Times New Roman"/>
        </w:rPr>
      </w:pPr>
      <w:r w:rsidRPr="004C15D5">
        <w:rPr>
          <w:rFonts w:ascii="Times New Roman" w:hAnsi="Times New Roman" w:cs="Times New Roman"/>
        </w:rPr>
        <w:t xml:space="preserve"> Samorządy, powinny opracować programy włączenia osób wykluczonych do społeczeństwa.</w:t>
      </w:r>
    </w:p>
    <w:p w:rsidR="00FD071B" w:rsidRDefault="00FD071B" w:rsidP="00FD071B">
      <w:pPr>
        <w:tabs>
          <w:tab w:val="left" w:pos="590"/>
        </w:tabs>
        <w:jc w:val="both"/>
        <w:rPr>
          <w:rFonts w:ascii="Times New Roman" w:hAnsi="Times New Roman" w:cs="Times New Roman"/>
        </w:rPr>
      </w:pPr>
      <w:r w:rsidRPr="004C15D5">
        <w:rPr>
          <w:rFonts w:ascii="Times New Roman" w:hAnsi="Times New Roman" w:cs="Times New Roman"/>
        </w:rPr>
        <w:t xml:space="preserve">Ważnymi wskaźnikami do opracowania programu będą: liczba osób bezrobotnych zarejestrowanych na terenie gminy, liczba osób korzystających z zasiłków socjalnych, ze schronisk dla bezdomnych. Ubóstwo ogranicza dostęp do opieki zdrowotnej, do edukacji, kultury czy nowych technologii. </w:t>
      </w:r>
      <w:r w:rsidRPr="004C15D5">
        <w:rPr>
          <w:rFonts w:ascii="Times New Roman" w:hAnsi="Times New Roman" w:cs="Times New Roman"/>
        </w:rPr>
        <w:lastRenderedPageBreak/>
        <w:t xml:space="preserve">Oznacza to, że z tych dóbr korzysta uprzywilejowana grupa społeczna, tym samym można stwierdzić, że zasoby gminy nie są sprawiedliwie kierowane do wszystkich obywateli i obywatelek. </w:t>
      </w:r>
    </w:p>
    <w:p w:rsidR="004C15D5" w:rsidRDefault="004C15D5" w:rsidP="00FD071B">
      <w:pPr>
        <w:tabs>
          <w:tab w:val="left" w:pos="590"/>
        </w:tabs>
        <w:jc w:val="both"/>
        <w:rPr>
          <w:rFonts w:ascii="Times New Roman" w:hAnsi="Times New Roman" w:cs="Times New Roman"/>
        </w:rPr>
      </w:pPr>
    </w:p>
    <w:p w:rsidR="004C15D5" w:rsidRDefault="004C15D5" w:rsidP="00FD071B">
      <w:pPr>
        <w:tabs>
          <w:tab w:val="left" w:pos="590"/>
        </w:tabs>
        <w:jc w:val="both"/>
        <w:rPr>
          <w:rFonts w:ascii="Times New Roman" w:hAnsi="Times New Roman" w:cs="Times New Roman"/>
        </w:rPr>
      </w:pPr>
    </w:p>
    <w:p w:rsidR="004C15D5" w:rsidRDefault="004C15D5" w:rsidP="00FD071B">
      <w:pPr>
        <w:tabs>
          <w:tab w:val="left" w:pos="590"/>
        </w:tabs>
        <w:jc w:val="both"/>
        <w:rPr>
          <w:rFonts w:ascii="Times New Roman" w:hAnsi="Times New Roman" w:cs="Times New Roman"/>
        </w:rPr>
      </w:pPr>
    </w:p>
    <w:p w:rsidR="004C15D5" w:rsidRPr="004C15D5" w:rsidRDefault="004C15D5" w:rsidP="00FD071B">
      <w:pPr>
        <w:tabs>
          <w:tab w:val="left" w:pos="590"/>
        </w:tabs>
        <w:jc w:val="both"/>
        <w:rPr>
          <w:rFonts w:ascii="Times New Roman" w:hAnsi="Times New Roman" w:cs="Times New Roman"/>
        </w:rPr>
      </w:pPr>
    </w:p>
    <w:p w:rsidR="004C15D5" w:rsidRPr="004C15D5" w:rsidRDefault="004C15D5" w:rsidP="004C15D5">
      <w:pPr>
        <w:pStyle w:val="Lista"/>
        <w:spacing w:line="360" w:lineRule="auto"/>
        <w:jc w:val="both"/>
        <w:rPr>
          <w:rFonts w:ascii="Times New Roman" w:hAnsi="Times New Roman" w:cs="Times New Roman"/>
          <w:b/>
          <w:bCs/>
          <w:sz w:val="18"/>
          <w:szCs w:val="18"/>
        </w:rPr>
      </w:pPr>
      <w:r w:rsidRPr="004C15D5">
        <w:rPr>
          <w:rFonts w:ascii="Times New Roman" w:hAnsi="Times New Roman" w:cs="Times New Roman"/>
          <w:b/>
          <w:sz w:val="18"/>
          <w:szCs w:val="18"/>
        </w:rPr>
        <w:t>Słowni</w:t>
      </w:r>
      <w:r w:rsidRPr="004C15D5">
        <w:rPr>
          <w:rFonts w:ascii="Times New Roman" w:hAnsi="Times New Roman" w:cs="Times New Roman"/>
          <w:b/>
          <w:bCs/>
          <w:sz w:val="18"/>
          <w:szCs w:val="18"/>
        </w:rPr>
        <w:t>czek:</w:t>
      </w:r>
    </w:p>
    <w:p w:rsidR="004C15D5" w:rsidRPr="004C15D5" w:rsidRDefault="004C15D5" w:rsidP="004C15D5">
      <w:pPr>
        <w:pStyle w:val="Lista"/>
        <w:spacing w:line="360" w:lineRule="auto"/>
        <w:jc w:val="both"/>
        <w:rPr>
          <w:rFonts w:ascii="Times New Roman" w:hAnsi="Times New Roman" w:cs="Times New Roman"/>
          <w:b/>
          <w:bCs/>
          <w:color w:val="000000"/>
          <w:sz w:val="18"/>
          <w:szCs w:val="18"/>
        </w:rPr>
      </w:pPr>
      <w:r w:rsidRPr="004C15D5">
        <w:rPr>
          <w:rFonts w:ascii="Times New Roman" w:hAnsi="Times New Roman" w:cs="Times New Roman"/>
          <w:b/>
          <w:bCs/>
          <w:sz w:val="18"/>
          <w:szCs w:val="18"/>
        </w:rPr>
        <w:t xml:space="preserve">DYSKRYMINACJA </w:t>
      </w:r>
      <w:r w:rsidRPr="004C15D5">
        <w:rPr>
          <w:rFonts w:ascii="Times New Roman" w:hAnsi="Times New Roman" w:cs="Times New Roman"/>
          <w:sz w:val="18"/>
          <w:szCs w:val="18"/>
        </w:rPr>
        <w:t xml:space="preserve">(łac. </w:t>
      </w:r>
      <w:proofErr w:type="spellStart"/>
      <w:r w:rsidRPr="004C15D5">
        <w:rPr>
          <w:rFonts w:ascii="Times New Roman" w:hAnsi="Times New Roman" w:cs="Times New Roman"/>
          <w:i/>
          <w:iCs/>
          <w:sz w:val="18"/>
          <w:szCs w:val="18"/>
        </w:rPr>
        <w:t>discriminatio</w:t>
      </w:r>
      <w:proofErr w:type="spellEnd"/>
      <w:r w:rsidRPr="004C15D5">
        <w:rPr>
          <w:rFonts w:ascii="Times New Roman" w:hAnsi="Times New Roman" w:cs="Times New Roman"/>
          <w:sz w:val="18"/>
          <w:szCs w:val="18"/>
        </w:rPr>
        <w:t xml:space="preserve"> – ‘rozróżnianie’) – traktowanie pewnych osób lub grup społecznych w inny sposób, zwykle mniej sprawiedliwy niż innych osób i grup. Oparta jest ona na uprzedzeniach i etykietowaniu. Należy pamiętać, że jest ona kwestią władzy, czyli tego, kto definiuje pewne grupy jako nadrzędne lub podrzędne. Pojęcie dyskryminacji używane jest w różnych znaczeniach. Z tych koncepcji wynika wiele konsekwencji, np. kto jest odpowiedzialny za rozstrzyganie sporów (sądy, ciała administracyjne), kto jest adresatem (samo państwo, czy państwo i osoby prywatne).Nieuzasadnione różnicowanie czyjejś sytuacji albo praw, w szczególności ze względu na płeć, rasę, pochodzenie etniczne, narodowość, religię lub wyznanie, światopogląd, poglądy polityczne, niepełnosprawność, wiek, orientację seksualną, stan cywilny oraz rodzinny, </w:t>
      </w:r>
      <w:r w:rsidRPr="004C15D5">
        <w:rPr>
          <w:rFonts w:ascii="Times New Roman" w:hAnsi="Times New Roman" w:cs="Times New Roman"/>
          <w:color w:val="000000"/>
          <w:sz w:val="18"/>
          <w:szCs w:val="18"/>
        </w:rPr>
        <w:t>określane jest jako dyskryminacja. Dyskryminacja oznacza nierówne traktowanie, prawnie nieusprawiedliwione i nieuzasadnione obiektywnymi przyczynami. Każde takie działanie stanowi naruszenie zasady równego traktowania i jest pogwałceniem podstawowych praw i wolności człowieka</w:t>
      </w:r>
      <w:r w:rsidRPr="004C15D5">
        <w:rPr>
          <w:rStyle w:val="Odwoanieprzypisudolnego"/>
          <w:rFonts w:ascii="Times New Roman" w:hAnsi="Times New Roman" w:cs="Times New Roman"/>
          <w:color w:val="000000"/>
          <w:sz w:val="18"/>
          <w:szCs w:val="18"/>
        </w:rPr>
        <w:footnoteReference w:id="5"/>
      </w:r>
      <w:r w:rsidRPr="004C15D5">
        <w:rPr>
          <w:rFonts w:ascii="Times New Roman" w:hAnsi="Times New Roman" w:cs="Times New Roman"/>
          <w:color w:val="000000"/>
          <w:sz w:val="18"/>
          <w:szCs w:val="18"/>
        </w:rPr>
        <w:t>.</w:t>
      </w:r>
    </w:p>
    <w:p w:rsidR="004C15D5" w:rsidRPr="004C15D5" w:rsidRDefault="004C15D5" w:rsidP="004C15D5">
      <w:pPr>
        <w:pStyle w:val="Lista"/>
        <w:spacing w:line="360" w:lineRule="auto"/>
        <w:ind w:left="0" w:firstLine="0"/>
        <w:jc w:val="both"/>
        <w:rPr>
          <w:rFonts w:ascii="Times New Roman" w:hAnsi="Times New Roman" w:cs="Times New Roman"/>
          <w:color w:val="000000"/>
          <w:sz w:val="18"/>
          <w:szCs w:val="18"/>
        </w:rPr>
      </w:pPr>
      <w:r w:rsidRPr="004C15D5">
        <w:rPr>
          <w:rFonts w:ascii="Times New Roman" w:hAnsi="Times New Roman" w:cs="Times New Roman"/>
          <w:b/>
          <w:bCs/>
          <w:color w:val="000000"/>
          <w:sz w:val="18"/>
          <w:szCs w:val="18"/>
        </w:rPr>
        <w:t xml:space="preserve">DYSKRYMINACJA POZYTYWNA – </w:t>
      </w:r>
      <w:r w:rsidRPr="004C15D5">
        <w:rPr>
          <w:rFonts w:ascii="Times New Roman" w:hAnsi="Times New Roman" w:cs="Times New Roman"/>
          <w:color w:val="000000"/>
          <w:sz w:val="18"/>
          <w:szCs w:val="18"/>
        </w:rPr>
        <w:t>oznacza, że państwo stosuje pewne czasowe rozwiązania, podejmuje     działania czy wprowadza określone środki prawne mające na celu wyrównanie szans osób należących do określonych grup mniejszościowych, np. osób o innej narodowości, celem zmniejszenia faktycznych nierówności, których te osoby doświadczają. Dyskryminacja taka jest dozwolona, jednak może być stosowana wyłącznie w określonym czasie, gdyż może przerodzić się w dyskryminację osób należących do grup większościowych, wcześniej uprzywilejowanych</w:t>
      </w:r>
      <w:r w:rsidRPr="004C15D5">
        <w:rPr>
          <w:rStyle w:val="Odwoanieprzypisudolnego"/>
          <w:rFonts w:ascii="Times New Roman" w:hAnsi="Times New Roman" w:cs="Times New Roman"/>
          <w:color w:val="000000"/>
          <w:sz w:val="18"/>
          <w:szCs w:val="18"/>
        </w:rPr>
        <w:footnoteReference w:id="6"/>
      </w:r>
      <w:r w:rsidRPr="004C15D5">
        <w:rPr>
          <w:rFonts w:ascii="Times New Roman" w:hAnsi="Times New Roman" w:cs="Times New Roman"/>
          <w:color w:val="000000"/>
          <w:sz w:val="18"/>
          <w:szCs w:val="18"/>
        </w:rPr>
        <w:t>.</w:t>
      </w:r>
    </w:p>
    <w:p w:rsidR="004C15D5" w:rsidRPr="004C15D5" w:rsidRDefault="004C15D5" w:rsidP="004C15D5">
      <w:pPr>
        <w:pStyle w:val="Lista"/>
        <w:spacing w:line="360" w:lineRule="auto"/>
        <w:jc w:val="both"/>
        <w:rPr>
          <w:rFonts w:ascii="Times New Roman" w:hAnsi="Times New Roman" w:cs="Times New Roman"/>
          <w:sz w:val="18"/>
          <w:szCs w:val="18"/>
        </w:rPr>
      </w:pPr>
      <w:r w:rsidRPr="004C15D5">
        <w:rPr>
          <w:rFonts w:ascii="Times New Roman" w:hAnsi="Times New Roman" w:cs="Times New Roman"/>
          <w:b/>
          <w:bCs/>
          <w:sz w:val="18"/>
          <w:szCs w:val="18"/>
        </w:rPr>
        <w:t xml:space="preserve">STEREOTYP – </w:t>
      </w:r>
      <w:r w:rsidRPr="004C15D5">
        <w:rPr>
          <w:rFonts w:ascii="Times New Roman" w:hAnsi="Times New Roman" w:cs="Times New Roman"/>
          <w:sz w:val="18"/>
          <w:szCs w:val="18"/>
        </w:rPr>
        <w:t>stereotypem nazywamy uproszczone przekonania dotyczące grupy społecznej lub jej członkini/członka, wyróżnionych na podstawie jednej cechy, np. płci, wieku, narodowości, wyznania, orientacji psychoseksualnej. Stereotyp przypisuje pewne cechy, zachowania, role społeczne wszystkim członkiniom /członkom grupy społecznej, której dotyczy, zacierając przy tym różnice indywidualne pomiędzy tymi osobami. Stereotypy są zatem rozpowszechnionymi w danej grupie opiniami i przekonaniami, których obiektami są inne grupy społeczne czy kulturowe</w:t>
      </w:r>
      <w:r w:rsidRPr="004C15D5">
        <w:rPr>
          <w:rStyle w:val="Odwoanieprzypisudolnego"/>
          <w:rFonts w:ascii="Times New Roman" w:hAnsi="Times New Roman" w:cs="Times New Roman"/>
          <w:sz w:val="18"/>
          <w:szCs w:val="18"/>
        </w:rPr>
        <w:footnoteReference w:id="7"/>
      </w:r>
      <w:r w:rsidRPr="004C15D5">
        <w:rPr>
          <w:rFonts w:ascii="Times New Roman" w:hAnsi="Times New Roman" w:cs="Times New Roman"/>
          <w:sz w:val="18"/>
          <w:szCs w:val="18"/>
        </w:rPr>
        <w:t>.</w:t>
      </w:r>
    </w:p>
    <w:p w:rsidR="004C15D5" w:rsidRPr="004C15D5" w:rsidRDefault="004C15D5" w:rsidP="004C15D5">
      <w:pPr>
        <w:pStyle w:val="Lista"/>
        <w:spacing w:line="360" w:lineRule="auto"/>
        <w:jc w:val="both"/>
        <w:rPr>
          <w:rFonts w:ascii="Times New Roman" w:hAnsi="Times New Roman" w:cs="Times New Roman"/>
          <w:sz w:val="18"/>
          <w:szCs w:val="18"/>
        </w:rPr>
      </w:pPr>
      <w:r w:rsidRPr="004C15D5">
        <w:rPr>
          <w:rFonts w:ascii="Times New Roman" w:hAnsi="Times New Roman" w:cs="Times New Roman"/>
          <w:b/>
          <w:bCs/>
          <w:sz w:val="18"/>
          <w:szCs w:val="18"/>
        </w:rPr>
        <w:t xml:space="preserve">UPRZEDZENIE – </w:t>
      </w:r>
      <w:r w:rsidRPr="004C15D5">
        <w:rPr>
          <w:rFonts w:ascii="Times New Roman" w:hAnsi="Times New Roman" w:cs="Times New Roman"/>
          <w:sz w:val="18"/>
          <w:szCs w:val="18"/>
        </w:rPr>
        <w:t xml:space="preserve">uprzedzenie można zdefiniować jako dokonanie z góry oceny lub przyjęcie z góry opinii na temat innej osoby lub grupy osób bez posiadania wiedzy i zbadania faktów na jej temat. Uprzedzenia są często wzmacniane przez stereotypy i są zazwyczaj oparte na założeniach, uczuciach lub przekonaniach, które mogą wpłynąć na percepcję i zachowanie. W języku angielskim używa się słowa </w:t>
      </w:r>
      <w:proofErr w:type="spellStart"/>
      <w:r w:rsidRPr="004C15D5">
        <w:rPr>
          <w:rFonts w:ascii="Times New Roman" w:hAnsi="Times New Roman" w:cs="Times New Roman"/>
          <w:i/>
          <w:iCs/>
          <w:sz w:val="18"/>
          <w:szCs w:val="18"/>
        </w:rPr>
        <w:t>prejudice</w:t>
      </w:r>
      <w:proofErr w:type="spellEnd"/>
      <w:r w:rsidRPr="004C15D5">
        <w:rPr>
          <w:rFonts w:ascii="Times New Roman" w:hAnsi="Times New Roman" w:cs="Times New Roman"/>
          <w:sz w:val="18"/>
          <w:szCs w:val="18"/>
        </w:rPr>
        <w:t xml:space="preserve">, które pochodzi od łacińskiego </w:t>
      </w:r>
      <w:proofErr w:type="spellStart"/>
      <w:r w:rsidRPr="004C15D5">
        <w:rPr>
          <w:rFonts w:ascii="Times New Roman" w:hAnsi="Times New Roman" w:cs="Times New Roman"/>
          <w:i/>
          <w:iCs/>
          <w:sz w:val="18"/>
          <w:szCs w:val="18"/>
        </w:rPr>
        <w:t>prae</w:t>
      </w:r>
      <w:proofErr w:type="spellEnd"/>
      <w:r w:rsidRPr="004C15D5">
        <w:rPr>
          <w:rFonts w:ascii="Times New Roman" w:hAnsi="Times New Roman" w:cs="Times New Roman"/>
          <w:sz w:val="18"/>
          <w:szCs w:val="18"/>
        </w:rPr>
        <w:t xml:space="preserve"> (‘przed’) oraz </w:t>
      </w:r>
      <w:proofErr w:type="spellStart"/>
      <w:r w:rsidRPr="004C15D5">
        <w:rPr>
          <w:rFonts w:ascii="Times New Roman" w:hAnsi="Times New Roman" w:cs="Times New Roman"/>
          <w:i/>
          <w:iCs/>
          <w:sz w:val="18"/>
          <w:szCs w:val="18"/>
        </w:rPr>
        <w:t>judicum</w:t>
      </w:r>
      <w:proofErr w:type="spellEnd"/>
      <w:r w:rsidRPr="004C15D5">
        <w:rPr>
          <w:rFonts w:ascii="Times New Roman" w:hAnsi="Times New Roman" w:cs="Times New Roman"/>
          <w:sz w:val="18"/>
          <w:szCs w:val="18"/>
        </w:rPr>
        <w:t xml:space="preserve"> (‘osąd’). Uprzedzenie to tendencyjna ocena jakiejś grupy, oparta na rzeczywistych lub wyobrażonych właściwościach jej członków/członkiń. Uprzedzenia karmią się negatywnymi stereotypami dotyczącymi jednostek lub grup</w:t>
      </w:r>
      <w:r w:rsidRPr="004C15D5">
        <w:rPr>
          <w:rStyle w:val="Odwoanieprzypisudolnego"/>
          <w:rFonts w:ascii="Times New Roman" w:hAnsi="Times New Roman" w:cs="Times New Roman"/>
          <w:sz w:val="18"/>
          <w:szCs w:val="18"/>
        </w:rPr>
        <w:footnoteReference w:id="8"/>
      </w:r>
      <w:r w:rsidRPr="004C15D5">
        <w:rPr>
          <w:rFonts w:ascii="Times New Roman" w:hAnsi="Times New Roman" w:cs="Times New Roman"/>
          <w:sz w:val="18"/>
          <w:szCs w:val="18"/>
        </w:rPr>
        <w:t>.</w:t>
      </w:r>
    </w:p>
    <w:p w:rsidR="004C15D5" w:rsidRPr="004C15D5" w:rsidRDefault="004C15D5" w:rsidP="004C15D5">
      <w:pPr>
        <w:pStyle w:val="Lista"/>
        <w:spacing w:line="360" w:lineRule="auto"/>
        <w:ind w:left="0" w:firstLine="0"/>
        <w:jc w:val="both"/>
        <w:rPr>
          <w:rFonts w:ascii="Times New Roman" w:hAnsi="Times New Roman" w:cs="Times New Roman"/>
          <w:b/>
          <w:bCs/>
          <w:color w:val="000000"/>
          <w:sz w:val="18"/>
          <w:szCs w:val="18"/>
        </w:rPr>
      </w:pPr>
    </w:p>
    <w:p w:rsidR="004C15D5" w:rsidRPr="004C15D5" w:rsidRDefault="004C15D5" w:rsidP="004C15D5">
      <w:pPr>
        <w:rPr>
          <w:rFonts w:ascii="Times New Roman" w:hAnsi="Times New Roman" w:cs="Times New Roman"/>
          <w:sz w:val="24"/>
          <w:szCs w:val="24"/>
        </w:rPr>
      </w:pPr>
    </w:p>
    <w:sectPr w:rsidR="004C15D5" w:rsidRPr="004C15D5" w:rsidSect="00880A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4A" w:rsidRDefault="0090624A" w:rsidP="004446D0">
      <w:pPr>
        <w:spacing w:after="0" w:line="240" w:lineRule="auto"/>
      </w:pPr>
      <w:r>
        <w:separator/>
      </w:r>
    </w:p>
  </w:endnote>
  <w:endnote w:type="continuationSeparator" w:id="0">
    <w:p w:rsidR="0090624A" w:rsidRDefault="0090624A" w:rsidP="00444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4A" w:rsidRDefault="0090624A" w:rsidP="004446D0">
      <w:pPr>
        <w:spacing w:after="0" w:line="240" w:lineRule="auto"/>
      </w:pPr>
      <w:r>
        <w:separator/>
      </w:r>
    </w:p>
  </w:footnote>
  <w:footnote w:type="continuationSeparator" w:id="0">
    <w:p w:rsidR="0090624A" w:rsidRDefault="0090624A" w:rsidP="004446D0">
      <w:pPr>
        <w:spacing w:after="0" w:line="240" w:lineRule="auto"/>
      </w:pPr>
      <w:r>
        <w:continuationSeparator/>
      </w:r>
    </w:p>
  </w:footnote>
  <w:footnote w:id="1">
    <w:p w:rsidR="009A0CBC" w:rsidRPr="009A0CBC" w:rsidRDefault="009A0CBC" w:rsidP="009A0CBC">
      <w:pPr>
        <w:rPr>
          <w:rFonts w:ascii="Times New Roman" w:hAnsi="Times New Roman" w:cs="Times New Roman"/>
          <w:sz w:val="18"/>
          <w:szCs w:val="18"/>
        </w:rPr>
      </w:pPr>
      <w:r w:rsidRPr="009A0CBC">
        <w:rPr>
          <w:rStyle w:val="Odwoanieprzypisudolnego"/>
        </w:rPr>
        <w:footnoteRef/>
      </w:r>
      <w:r w:rsidRPr="009A0CBC">
        <w:rPr>
          <w:lang w:val="en-US"/>
        </w:rPr>
        <w:t xml:space="preserve"> </w:t>
      </w:r>
      <w:hyperlink r:id="rId1" w:history="1">
        <w:r w:rsidRPr="009A0CBC">
          <w:rPr>
            <w:rStyle w:val="Hipercze"/>
            <w:rFonts w:ascii="Times New Roman" w:hAnsi="Times New Roman" w:cs="Times New Roman"/>
            <w:color w:val="auto"/>
            <w:sz w:val="18"/>
            <w:szCs w:val="18"/>
          </w:rPr>
          <w:t>http://www.charter-equality.eu/atlas-of-signatories-of-the-charter/presentation.html</w:t>
        </w:r>
      </w:hyperlink>
    </w:p>
    <w:p w:rsidR="009A0CBC" w:rsidRPr="009A0CBC" w:rsidRDefault="009A0CBC">
      <w:pPr>
        <w:pStyle w:val="Tekstprzypisudolnego"/>
        <w:rPr>
          <w:lang w:val="en-US"/>
        </w:rPr>
      </w:pPr>
    </w:p>
  </w:footnote>
  <w:footnote w:id="2">
    <w:p w:rsidR="004446D0" w:rsidRPr="004446D0" w:rsidRDefault="004446D0" w:rsidP="004446D0">
      <w:pPr>
        <w:pStyle w:val="Tekstprzypisudolnego"/>
        <w:rPr>
          <w:lang w:val="en-US"/>
        </w:rPr>
      </w:pPr>
      <w:r w:rsidRPr="00586B26">
        <w:rPr>
          <w:rStyle w:val="Odwoanieprzypisudolnego"/>
          <w:rFonts w:ascii="Times New Roman" w:hAnsi="Times New Roman" w:cs="Times New Roman"/>
          <w:color w:val="000000"/>
        </w:rPr>
        <w:footnoteRef/>
      </w:r>
      <w:r w:rsidRPr="00586B26">
        <w:rPr>
          <w:rFonts w:ascii="Times New Roman" w:hAnsi="Times New Roman" w:cs="Times New Roman"/>
          <w:color w:val="000000"/>
          <w:lang w:val="en-US"/>
        </w:rPr>
        <w:t xml:space="preserve"> </w:t>
      </w:r>
      <w:hyperlink r:id="rId2" w:history="1">
        <w:r w:rsidRPr="00586B26">
          <w:rPr>
            <w:rStyle w:val="Hipercze"/>
            <w:rFonts w:ascii="Times New Roman" w:hAnsi="Times New Roman" w:cs="Times New Roman"/>
            <w:color w:val="000000"/>
            <w:lang w:val="en-US"/>
          </w:rPr>
          <w:t>Localities 2010, area, population and density in localities 2005 and 2010 and change in area and population"</w:t>
        </w:r>
      </w:hyperlink>
      <w:r w:rsidRPr="00586B26">
        <w:rPr>
          <w:rFonts w:ascii="Times New Roman" w:hAnsi="Times New Roman" w:cs="Times New Roman"/>
          <w:color w:val="000000"/>
          <w:shd w:val="clear" w:color="auto" w:fill="FFFFFF"/>
          <w:lang w:val="en-US"/>
        </w:rPr>
        <w:t>.</w:t>
      </w:r>
      <w:r w:rsidRPr="00586B26">
        <w:rPr>
          <w:rStyle w:val="apple-converted-space"/>
          <w:rFonts w:ascii="Times New Roman" w:hAnsi="Times New Roman" w:cs="Times New Roman"/>
          <w:color w:val="000000"/>
          <w:shd w:val="clear" w:color="auto" w:fill="FFFFFF"/>
          <w:lang w:val="en-US"/>
        </w:rPr>
        <w:t> </w:t>
      </w:r>
      <w:hyperlink r:id="rId3" w:tooltip="Statistics Sweden" w:history="1">
        <w:r w:rsidRPr="00586B26">
          <w:rPr>
            <w:rStyle w:val="Hipercze"/>
            <w:rFonts w:ascii="Times New Roman" w:hAnsi="Times New Roman" w:cs="Times New Roman"/>
            <w:color w:val="000000"/>
            <w:shd w:val="clear" w:color="auto" w:fill="FFFFFF"/>
            <w:lang w:val="en-US"/>
          </w:rPr>
          <w:t>Statistics Sweden</w:t>
        </w:r>
      </w:hyperlink>
      <w:r w:rsidRPr="00586B26">
        <w:rPr>
          <w:rFonts w:ascii="Times New Roman" w:hAnsi="Times New Roman" w:cs="Times New Roman"/>
          <w:color w:val="000000"/>
          <w:shd w:val="clear" w:color="auto" w:fill="FFFFFF"/>
          <w:lang w:val="en-US"/>
        </w:rPr>
        <w:t>. 29 May 2012.</w:t>
      </w:r>
      <w:r w:rsidRPr="00586B26">
        <w:rPr>
          <w:rStyle w:val="apple-converted-space"/>
          <w:rFonts w:ascii="Times New Roman" w:hAnsi="Times New Roman" w:cs="Times New Roman"/>
          <w:color w:val="000000"/>
          <w:shd w:val="clear" w:color="auto" w:fill="FFFFFF"/>
          <w:lang w:val="en-US"/>
        </w:rPr>
        <w:t> </w:t>
      </w:r>
      <w:hyperlink r:id="rId4" w:history="1">
        <w:r w:rsidRPr="00586B26">
          <w:rPr>
            <w:rStyle w:val="Hipercze"/>
            <w:rFonts w:ascii="Times New Roman" w:hAnsi="Times New Roman" w:cs="Times New Roman"/>
            <w:color w:val="000000"/>
            <w:lang w:val="en-US"/>
          </w:rPr>
          <w:t>Archived</w:t>
        </w:r>
      </w:hyperlink>
      <w:r w:rsidRPr="00586B26">
        <w:rPr>
          <w:rStyle w:val="apple-converted-space"/>
          <w:rFonts w:ascii="Times New Roman" w:hAnsi="Times New Roman" w:cs="Times New Roman"/>
          <w:color w:val="000000"/>
          <w:shd w:val="clear" w:color="auto" w:fill="FFFFFF"/>
          <w:lang w:val="en-US"/>
        </w:rPr>
        <w:t> </w:t>
      </w:r>
      <w:r w:rsidRPr="00586B26">
        <w:rPr>
          <w:rFonts w:ascii="Times New Roman" w:hAnsi="Times New Roman" w:cs="Times New Roman"/>
          <w:color w:val="000000"/>
          <w:shd w:val="clear" w:color="auto" w:fill="FFFFFF"/>
          <w:lang w:val="en-US"/>
        </w:rPr>
        <w:t>from th</w:t>
      </w:r>
      <w:r w:rsidRPr="00103729">
        <w:rPr>
          <w:rFonts w:ascii="Times New Roman" w:hAnsi="Times New Roman" w:cs="Times New Roman"/>
          <w:color w:val="000000"/>
          <w:shd w:val="clear" w:color="auto" w:fill="FFFFFF"/>
          <w:lang w:val="en-US"/>
        </w:rPr>
        <w:t>e original on 17 December 2012</w:t>
      </w:r>
      <w:r>
        <w:rPr>
          <w:rFonts w:ascii="Times New Roman" w:hAnsi="Times New Roman" w:cs="Times New Roman"/>
          <w:color w:val="000000"/>
          <w:shd w:val="clear" w:color="auto" w:fill="FFFFFF"/>
          <w:lang w:val="en-US"/>
        </w:rPr>
        <w:t>.</w:t>
      </w:r>
    </w:p>
  </w:footnote>
  <w:footnote w:id="3">
    <w:p w:rsidR="004446D0" w:rsidRPr="004446D0" w:rsidRDefault="004446D0" w:rsidP="004446D0">
      <w:pPr>
        <w:pStyle w:val="Tekstprzypisudolnego"/>
        <w:rPr>
          <w:lang w:val="en-US"/>
        </w:rPr>
      </w:pPr>
      <w:r w:rsidRPr="00103729">
        <w:rPr>
          <w:rStyle w:val="Odwoanieprzypisudolnego"/>
          <w:rFonts w:ascii="Times New Roman" w:hAnsi="Times New Roman" w:cs="Times New Roman"/>
          <w:color w:val="000000"/>
        </w:rPr>
        <w:footnoteRef/>
      </w:r>
      <w:r w:rsidRPr="008238C2">
        <w:rPr>
          <w:rFonts w:ascii="Times New Roman" w:hAnsi="Times New Roman" w:cs="Times New Roman"/>
          <w:color w:val="000000"/>
          <w:lang w:val="en-US"/>
        </w:rPr>
        <w:t xml:space="preserve"> </w:t>
      </w:r>
      <w:hyperlink r:id="rId5" w:history="1">
        <w:r w:rsidRPr="008238C2">
          <w:rPr>
            <w:rStyle w:val="Hipercze"/>
            <w:rFonts w:ascii="Times New Roman" w:hAnsi="Times New Roman" w:cs="Times New Roman"/>
            <w:lang w:val="en-US"/>
          </w:rPr>
          <w:t>http://www.umea.se/arkiv/profilnyheter/profilartiklar/fotbollenarrundochrattvisiumea.5.4f82daa7122bec2758d8000827.html  (</w:t>
        </w:r>
        <w:proofErr w:type="spellStart"/>
        <w:r w:rsidRPr="008238C2">
          <w:rPr>
            <w:rStyle w:val="Hipercze"/>
            <w:rFonts w:ascii="Times New Roman" w:hAnsi="Times New Roman" w:cs="Times New Roman"/>
            <w:lang w:val="en-US"/>
          </w:rPr>
          <w:t>dostęp</w:t>
        </w:r>
        <w:proofErr w:type="spellEnd"/>
        <w:r w:rsidRPr="008238C2">
          <w:rPr>
            <w:rStyle w:val="Hipercze"/>
            <w:rFonts w:ascii="Times New Roman" w:hAnsi="Times New Roman" w:cs="Times New Roman"/>
            <w:lang w:val="en-US"/>
          </w:rPr>
          <w:t>: 12.05.2016</w:t>
        </w:r>
      </w:hyperlink>
      <w:r w:rsidRPr="008238C2">
        <w:rPr>
          <w:rFonts w:ascii="Times New Roman" w:hAnsi="Times New Roman" w:cs="Times New Roman"/>
          <w:lang w:val="en-US"/>
        </w:rPr>
        <w:t>).</w:t>
      </w:r>
    </w:p>
  </w:footnote>
  <w:footnote w:id="4">
    <w:p w:rsidR="00FD071B" w:rsidRPr="00103729" w:rsidRDefault="00FD071B" w:rsidP="00FD071B">
      <w:pPr>
        <w:spacing w:line="360" w:lineRule="auto"/>
        <w:jc w:val="both"/>
        <w:rPr>
          <w:rFonts w:ascii="Times New Roman" w:hAnsi="Times New Roman" w:cs="Times New Roman"/>
          <w:sz w:val="20"/>
          <w:szCs w:val="20"/>
        </w:rPr>
      </w:pPr>
      <w:r w:rsidRPr="00103729">
        <w:rPr>
          <w:rStyle w:val="Odwoanieprzypisudolnego"/>
          <w:rFonts w:ascii="Times New Roman" w:hAnsi="Times New Roman" w:cs="Times New Roman"/>
          <w:sz w:val="20"/>
          <w:szCs w:val="20"/>
        </w:rPr>
        <w:footnoteRef/>
      </w:r>
      <w:r w:rsidRPr="00103729">
        <w:rPr>
          <w:rFonts w:ascii="Times New Roman" w:hAnsi="Times New Roman" w:cs="Times New Roman"/>
          <w:sz w:val="20"/>
          <w:szCs w:val="20"/>
        </w:rPr>
        <w:t xml:space="preserve"> </w:t>
      </w:r>
      <w:r w:rsidRPr="00F43365">
        <w:rPr>
          <w:rFonts w:ascii="Times New Roman" w:hAnsi="Times New Roman" w:cs="Times New Roman"/>
          <w:i/>
          <w:iCs/>
          <w:sz w:val="20"/>
          <w:szCs w:val="20"/>
        </w:rPr>
        <w:t>Polityka równości płci Polska 2007</w:t>
      </w:r>
      <w:r w:rsidRPr="00103729">
        <w:rPr>
          <w:rFonts w:ascii="Times New Roman" w:hAnsi="Times New Roman" w:cs="Times New Roman"/>
          <w:sz w:val="20"/>
          <w:szCs w:val="20"/>
        </w:rPr>
        <w:t xml:space="preserve">, </w:t>
      </w:r>
      <w:r>
        <w:rPr>
          <w:rFonts w:ascii="Times New Roman" w:hAnsi="Times New Roman" w:cs="Times New Roman"/>
          <w:sz w:val="20"/>
          <w:szCs w:val="20"/>
        </w:rPr>
        <w:t>dz. cyt</w:t>
      </w:r>
      <w:r w:rsidRPr="00103729">
        <w:rPr>
          <w:rFonts w:ascii="Times New Roman" w:hAnsi="Times New Roman" w:cs="Times New Roman"/>
          <w:sz w:val="20"/>
          <w:szCs w:val="20"/>
        </w:rPr>
        <w:t>.</w:t>
      </w:r>
    </w:p>
    <w:p w:rsidR="00FD071B" w:rsidRDefault="00FD071B" w:rsidP="00FD071B">
      <w:pPr>
        <w:spacing w:line="360" w:lineRule="auto"/>
        <w:jc w:val="both"/>
      </w:pPr>
    </w:p>
  </w:footnote>
  <w:footnote w:id="5">
    <w:p w:rsidR="004C15D5" w:rsidRDefault="004C15D5" w:rsidP="004C15D5">
      <w:pPr>
        <w:pStyle w:val="Tekstprzypisudolnego"/>
      </w:pPr>
      <w:r w:rsidRPr="008F2CFE">
        <w:rPr>
          <w:rStyle w:val="Odwoanieprzypisudolnego"/>
          <w:rFonts w:ascii="Times New Roman" w:hAnsi="Times New Roman" w:cs="Times New Roman"/>
        </w:rPr>
        <w:footnoteRef/>
      </w:r>
      <w:r w:rsidRPr="008F2CFE">
        <w:rPr>
          <w:rFonts w:ascii="Times New Roman" w:hAnsi="Times New Roman" w:cs="Times New Roman"/>
        </w:rPr>
        <w:t xml:space="preserve"> http://www.siecrownosci.gov.pl/slownik-pojec/art,19,dyskryminacja.html</w:t>
      </w:r>
    </w:p>
  </w:footnote>
  <w:footnote w:id="6">
    <w:p w:rsidR="004C15D5" w:rsidRDefault="004C15D5" w:rsidP="004C15D5">
      <w:pPr>
        <w:pStyle w:val="Tekstprzypisudolnego"/>
      </w:pPr>
      <w:r w:rsidRPr="008F2CFE">
        <w:rPr>
          <w:rStyle w:val="Odwoanieprzypisudolnego"/>
          <w:rFonts w:ascii="Times New Roman" w:hAnsi="Times New Roman" w:cs="Times New Roman"/>
        </w:rPr>
        <w:footnoteRef/>
      </w:r>
      <w:r w:rsidRPr="008F2CFE">
        <w:rPr>
          <w:rFonts w:ascii="Times New Roman" w:hAnsi="Times New Roman" w:cs="Times New Roman"/>
        </w:rPr>
        <w:t xml:space="preserve"> http://www.spoleczenstwoobywatelskie.gov.pl/dyskryminacja-i-mobbing</w:t>
      </w:r>
    </w:p>
  </w:footnote>
  <w:footnote w:id="7">
    <w:p w:rsidR="004C15D5" w:rsidRDefault="004C15D5" w:rsidP="004C15D5">
      <w:pPr>
        <w:pStyle w:val="Tekstprzypisudolnego"/>
      </w:pPr>
      <w:r w:rsidRPr="008F2CFE">
        <w:rPr>
          <w:rStyle w:val="Odwoanieprzypisudolnego"/>
          <w:rFonts w:ascii="Times New Roman" w:hAnsi="Times New Roman" w:cs="Times New Roman"/>
        </w:rPr>
        <w:footnoteRef/>
      </w:r>
      <w:r w:rsidRPr="008F2CFE">
        <w:rPr>
          <w:rFonts w:ascii="Times New Roman" w:hAnsi="Times New Roman" w:cs="Times New Roman"/>
        </w:rPr>
        <w:t xml:space="preserve"> http://rownosc.info/dictionary/stereotypy/</w:t>
      </w:r>
    </w:p>
  </w:footnote>
  <w:footnote w:id="8">
    <w:p w:rsidR="004C15D5" w:rsidRDefault="004C15D5" w:rsidP="004C15D5">
      <w:pPr>
        <w:pStyle w:val="Tekstprzypisudolnego"/>
      </w:pPr>
      <w:r w:rsidRPr="008F2CFE">
        <w:rPr>
          <w:rStyle w:val="Odwoanieprzypisudolnego"/>
          <w:rFonts w:ascii="Times New Roman" w:hAnsi="Times New Roman" w:cs="Times New Roman"/>
        </w:rPr>
        <w:footnoteRef/>
      </w:r>
      <w:r w:rsidRPr="008F2CFE">
        <w:rPr>
          <w:rFonts w:ascii="Times New Roman" w:hAnsi="Times New Roman" w:cs="Times New Roman"/>
        </w:rPr>
        <w:t xml:space="preserve"> http://www.siecrownosci.gov.pl/slownik-pojec/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1001"/>
    <w:multiLevelType w:val="hybridMultilevel"/>
    <w:tmpl w:val="FA820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2BC5CF5"/>
    <w:multiLevelType w:val="hybridMultilevel"/>
    <w:tmpl w:val="8A4ACAFC"/>
    <w:lvl w:ilvl="0" w:tplc="A8FA3390">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766CC9"/>
    <w:rsid w:val="00220C48"/>
    <w:rsid w:val="00400A2E"/>
    <w:rsid w:val="004446D0"/>
    <w:rsid w:val="004C15D5"/>
    <w:rsid w:val="00694019"/>
    <w:rsid w:val="00726D0B"/>
    <w:rsid w:val="00766CC9"/>
    <w:rsid w:val="00880AE6"/>
    <w:rsid w:val="0090624A"/>
    <w:rsid w:val="009A0CBC"/>
    <w:rsid w:val="00C676B2"/>
    <w:rsid w:val="00D96A50"/>
    <w:rsid w:val="00FD07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0AE6"/>
  </w:style>
  <w:style w:type="paragraph" w:styleId="Nagwek6">
    <w:name w:val="heading 6"/>
    <w:basedOn w:val="Normalny"/>
    <w:next w:val="Normalny"/>
    <w:link w:val="Nagwek6Znak"/>
    <w:uiPriority w:val="99"/>
    <w:qFormat/>
    <w:rsid w:val="004446D0"/>
    <w:pPr>
      <w:keepNext/>
      <w:keepLines/>
      <w:spacing w:before="200" w:after="0" w:line="259" w:lineRule="auto"/>
      <w:outlineLvl w:val="5"/>
    </w:pPr>
    <w:rPr>
      <w:rFonts w:ascii="Calibri Light" w:eastAsia="Times New Roman" w:hAnsi="Calibri Light" w:cs="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ero">
    <w:name w:val="Gero"/>
    <w:basedOn w:val="Normalny"/>
    <w:qFormat/>
    <w:rsid w:val="00766CC9"/>
    <w:pPr>
      <w:spacing w:after="0" w:line="320" w:lineRule="exact"/>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rsid w:val="00694019"/>
    <w:pPr>
      <w:spacing w:after="120" w:line="259" w:lineRule="auto"/>
    </w:pPr>
    <w:rPr>
      <w:rFonts w:ascii="Calibri" w:eastAsia="Calibri" w:hAnsi="Calibri" w:cs="Calibri"/>
    </w:rPr>
  </w:style>
  <w:style w:type="character" w:customStyle="1" w:styleId="TekstpodstawowyZnak">
    <w:name w:val="Tekst podstawowy Znak"/>
    <w:basedOn w:val="Domylnaczcionkaakapitu"/>
    <w:link w:val="Tekstpodstawowy"/>
    <w:uiPriority w:val="99"/>
    <w:rsid w:val="00694019"/>
    <w:rPr>
      <w:rFonts w:ascii="Calibri" w:eastAsia="Calibri" w:hAnsi="Calibri" w:cs="Calibri"/>
    </w:rPr>
  </w:style>
  <w:style w:type="character" w:styleId="Hipercze">
    <w:name w:val="Hyperlink"/>
    <w:basedOn w:val="Domylnaczcionkaakapitu"/>
    <w:uiPriority w:val="99"/>
    <w:unhideWhenUsed/>
    <w:rsid w:val="00694019"/>
    <w:rPr>
      <w:color w:val="0000FF" w:themeColor="hyperlink"/>
      <w:u w:val="single"/>
    </w:rPr>
  </w:style>
  <w:style w:type="character" w:customStyle="1" w:styleId="Nagwek6Znak">
    <w:name w:val="Nagłówek 6 Znak"/>
    <w:basedOn w:val="Domylnaczcionkaakapitu"/>
    <w:link w:val="Nagwek6"/>
    <w:uiPriority w:val="99"/>
    <w:rsid w:val="004446D0"/>
    <w:rPr>
      <w:rFonts w:ascii="Calibri Light" w:eastAsia="Times New Roman" w:hAnsi="Calibri Light" w:cs="Calibri Light"/>
      <w:i/>
      <w:iCs/>
      <w:color w:val="1F4D78"/>
    </w:rPr>
  </w:style>
  <w:style w:type="paragraph" w:styleId="Tekstprzypisudolnego">
    <w:name w:val="footnote text"/>
    <w:basedOn w:val="Normalny"/>
    <w:link w:val="TekstprzypisudolnegoZnak"/>
    <w:uiPriority w:val="99"/>
    <w:semiHidden/>
    <w:rsid w:val="004446D0"/>
    <w:pPr>
      <w:spacing w:after="0" w:line="240" w:lineRule="auto"/>
    </w:pPr>
    <w:rPr>
      <w:rFonts w:ascii="Calibri" w:eastAsia="Calibri" w:hAnsi="Calibri" w:cs="Calibri"/>
      <w:sz w:val="20"/>
      <w:szCs w:val="20"/>
    </w:rPr>
  </w:style>
  <w:style w:type="character" w:customStyle="1" w:styleId="TekstprzypisudolnegoZnak">
    <w:name w:val="Tekst przypisu dolnego Znak"/>
    <w:basedOn w:val="Domylnaczcionkaakapitu"/>
    <w:link w:val="Tekstprzypisudolnego"/>
    <w:uiPriority w:val="99"/>
    <w:rsid w:val="004446D0"/>
    <w:rPr>
      <w:rFonts w:ascii="Calibri" w:eastAsia="Calibri" w:hAnsi="Calibri" w:cs="Calibri"/>
      <w:sz w:val="20"/>
      <w:szCs w:val="20"/>
    </w:rPr>
  </w:style>
  <w:style w:type="character" w:styleId="Odwoanieprzypisudolnego">
    <w:name w:val="footnote reference"/>
    <w:basedOn w:val="Domylnaczcionkaakapitu"/>
    <w:uiPriority w:val="99"/>
    <w:semiHidden/>
    <w:rsid w:val="004446D0"/>
    <w:rPr>
      <w:vertAlign w:val="superscript"/>
    </w:rPr>
  </w:style>
  <w:style w:type="character" w:customStyle="1" w:styleId="apple-converted-space">
    <w:name w:val="apple-converted-space"/>
    <w:basedOn w:val="Domylnaczcionkaakapitu"/>
    <w:uiPriority w:val="99"/>
    <w:rsid w:val="004446D0"/>
  </w:style>
  <w:style w:type="paragraph" w:styleId="Akapitzlist">
    <w:name w:val="List Paragraph"/>
    <w:basedOn w:val="Normalny"/>
    <w:uiPriority w:val="34"/>
    <w:qFormat/>
    <w:rsid w:val="004446D0"/>
    <w:pPr>
      <w:ind w:left="720"/>
      <w:contextualSpacing/>
    </w:pPr>
  </w:style>
  <w:style w:type="paragraph" w:styleId="Lista">
    <w:name w:val="List"/>
    <w:basedOn w:val="Normalny"/>
    <w:uiPriority w:val="99"/>
    <w:rsid w:val="004C15D5"/>
    <w:pPr>
      <w:spacing w:after="160" w:line="259" w:lineRule="auto"/>
      <w:ind w:left="283" w:hanging="283"/>
      <w:contextualSpacing/>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Statistics_Sweden" TargetMode="External"/><Relationship Id="rId2" Type="http://schemas.openxmlformats.org/officeDocument/2006/relationships/hyperlink" Target="http://www.scb.se/Statistik/MI/MI0810/2010A01Z/01_Localities2010_land_area_pop_density_2005_2010.xls" TargetMode="External"/><Relationship Id="rId1" Type="http://schemas.openxmlformats.org/officeDocument/2006/relationships/hyperlink" Target="http://www.charter-equality.eu/atlas-of-signatories-of-the-charter/presentation.html" TargetMode="External"/><Relationship Id="rId5" Type="http://schemas.openxmlformats.org/officeDocument/2006/relationships/hyperlink" Target="http://www.umea.se/arkiv/profilnyheter/profilartiklar/fotbollenarrundochrattvisiumea.5.4f82daa7122bec2758d8000827.html%20%20(dost&#281;p:%2012.05.2016" TargetMode="External"/><Relationship Id="rId4" Type="http://schemas.openxmlformats.org/officeDocument/2006/relationships/hyperlink" Target="http://www.webcitation.org/6Cyepq9R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320C7-B31C-4D97-98DF-EE2D515B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1708</Words>
  <Characters>10253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Jachlewscy</dc:creator>
  <cp:lastModifiedBy>Jachlewscy</cp:lastModifiedBy>
  <cp:revision>3</cp:revision>
  <dcterms:created xsi:type="dcterms:W3CDTF">2017-10-18T06:57:00Z</dcterms:created>
  <dcterms:modified xsi:type="dcterms:W3CDTF">2017-10-18T08:16:00Z</dcterms:modified>
</cp:coreProperties>
</file>